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EE173" w14:textId="77777777" w:rsidR="003E74BC" w:rsidRPr="00850658" w:rsidRDefault="007766DD" w:rsidP="00EB38E6">
      <w:pPr>
        <w:jc w:val="center"/>
      </w:pPr>
      <w:bookmarkStart w:id="0" w:name="_GoBack"/>
      <w:bookmarkEnd w:id="0"/>
      <w:r w:rsidRPr="00850658">
        <w:rPr>
          <w:noProof/>
          <w:lang w:val="en-US"/>
        </w:rPr>
        <w:drawing>
          <wp:inline distT="0" distB="0" distL="0" distR="0" wp14:anchorId="70591CBD" wp14:editId="25B082FC">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14:paraId="06CBD2EB" w14:textId="77777777" w:rsidR="002B26D6" w:rsidRPr="00850658" w:rsidRDefault="002B26D6" w:rsidP="000F7E70">
      <w:pPr>
        <w:autoSpaceDE w:val="0"/>
        <w:ind w:left="720" w:firstLine="720"/>
        <w:jc w:val="center"/>
        <w:rPr>
          <w:b/>
          <w:bCs/>
        </w:rPr>
      </w:pPr>
    </w:p>
    <w:p w14:paraId="5467488D" w14:textId="77777777" w:rsidR="000F7E70" w:rsidRPr="00850658" w:rsidRDefault="000F7E70" w:rsidP="00EB38E6">
      <w:pPr>
        <w:autoSpaceDE w:val="0"/>
        <w:ind w:hanging="11"/>
        <w:jc w:val="center"/>
        <w:rPr>
          <w:b/>
          <w:bCs/>
        </w:rPr>
      </w:pPr>
      <w:r w:rsidRPr="00850658">
        <w:rPr>
          <w:b/>
          <w:bCs/>
        </w:rPr>
        <w:t>OPINION</w:t>
      </w:r>
    </w:p>
    <w:p w14:paraId="1957387E" w14:textId="7A653781" w:rsidR="008F2DCD" w:rsidRPr="00850658" w:rsidRDefault="008F2DCD" w:rsidP="00122F00">
      <w:pPr>
        <w:autoSpaceDE w:val="0"/>
        <w:jc w:val="right"/>
        <w:rPr>
          <w:b/>
          <w:bCs/>
        </w:rPr>
      </w:pPr>
    </w:p>
    <w:p w14:paraId="421F097F" w14:textId="5918DF42" w:rsidR="000F7E70" w:rsidRPr="00850658" w:rsidRDefault="000F7E70" w:rsidP="000F7E70">
      <w:pPr>
        <w:autoSpaceDE w:val="0"/>
        <w:jc w:val="both"/>
        <w:rPr>
          <w:b/>
          <w:bCs/>
        </w:rPr>
      </w:pPr>
      <w:r w:rsidRPr="00850658">
        <w:rPr>
          <w:b/>
          <w:bCs/>
        </w:rPr>
        <w:t xml:space="preserve">Date of adoption: </w:t>
      </w:r>
      <w:r w:rsidR="004817F4" w:rsidRPr="00850658">
        <w:rPr>
          <w:b/>
          <w:bCs/>
        </w:rPr>
        <w:t>20</w:t>
      </w:r>
      <w:r w:rsidR="00F47469" w:rsidRPr="00850658">
        <w:rPr>
          <w:b/>
          <w:bCs/>
        </w:rPr>
        <w:t xml:space="preserve"> March</w:t>
      </w:r>
      <w:r w:rsidR="00CE17B7" w:rsidRPr="00850658">
        <w:rPr>
          <w:b/>
          <w:bCs/>
        </w:rPr>
        <w:t xml:space="preserve"> </w:t>
      </w:r>
      <w:r w:rsidRPr="00850658">
        <w:rPr>
          <w:b/>
          <w:bCs/>
        </w:rPr>
        <w:t>20</w:t>
      </w:r>
      <w:r w:rsidR="00C905F1" w:rsidRPr="00850658">
        <w:rPr>
          <w:b/>
          <w:bCs/>
        </w:rPr>
        <w:t>1</w:t>
      </w:r>
      <w:r w:rsidR="00552E02" w:rsidRPr="00850658">
        <w:rPr>
          <w:b/>
          <w:bCs/>
        </w:rPr>
        <w:t>5</w:t>
      </w:r>
    </w:p>
    <w:p w14:paraId="3BBC312B" w14:textId="77777777" w:rsidR="00E327E1" w:rsidRPr="00850658" w:rsidRDefault="00E327E1" w:rsidP="000F7E70">
      <w:pPr>
        <w:autoSpaceDE w:val="0"/>
        <w:jc w:val="both"/>
        <w:rPr>
          <w:b/>
          <w:bCs/>
        </w:rPr>
      </w:pPr>
    </w:p>
    <w:p w14:paraId="3DB704E8" w14:textId="77777777" w:rsidR="007F7232" w:rsidRPr="00850658" w:rsidRDefault="007F7232" w:rsidP="007F7232">
      <w:pPr>
        <w:autoSpaceDE w:val="0"/>
        <w:autoSpaceDN w:val="0"/>
        <w:adjustRightInd w:val="0"/>
        <w:jc w:val="both"/>
        <w:rPr>
          <w:b/>
          <w:bCs/>
        </w:rPr>
      </w:pPr>
      <w:r w:rsidRPr="00850658">
        <w:rPr>
          <w:b/>
          <w:bCs/>
        </w:rPr>
        <w:t xml:space="preserve">Case No. </w:t>
      </w:r>
      <w:r w:rsidR="00F47469" w:rsidRPr="00850658">
        <w:rPr>
          <w:b/>
          <w:bCs/>
        </w:rPr>
        <w:t>213/09</w:t>
      </w:r>
    </w:p>
    <w:p w14:paraId="3143FA4B" w14:textId="77777777" w:rsidR="00552E02" w:rsidRPr="00850658" w:rsidRDefault="00552E02" w:rsidP="00552E02">
      <w:pPr>
        <w:autoSpaceDE w:val="0"/>
        <w:autoSpaceDN w:val="0"/>
        <w:adjustRightInd w:val="0"/>
        <w:jc w:val="both"/>
        <w:rPr>
          <w:b/>
          <w:bCs/>
        </w:rPr>
      </w:pPr>
    </w:p>
    <w:p w14:paraId="17E5EA10" w14:textId="77777777" w:rsidR="007F7232" w:rsidRPr="00850658" w:rsidRDefault="00F47469" w:rsidP="007F7232">
      <w:pPr>
        <w:autoSpaceDE w:val="0"/>
        <w:autoSpaceDN w:val="0"/>
        <w:adjustRightInd w:val="0"/>
        <w:jc w:val="both"/>
        <w:rPr>
          <w:b/>
          <w:bCs/>
        </w:rPr>
      </w:pPr>
      <w:r w:rsidRPr="00850658">
        <w:rPr>
          <w:b/>
        </w:rPr>
        <w:t>Sava JOVANOVIĆ</w:t>
      </w:r>
    </w:p>
    <w:p w14:paraId="6A5120FB" w14:textId="77777777" w:rsidR="002D428F" w:rsidRPr="00850658" w:rsidRDefault="002D428F" w:rsidP="002D428F">
      <w:pPr>
        <w:autoSpaceDE w:val="0"/>
        <w:autoSpaceDN w:val="0"/>
        <w:adjustRightInd w:val="0"/>
        <w:jc w:val="both"/>
        <w:rPr>
          <w:b/>
          <w:bCs/>
        </w:rPr>
      </w:pPr>
    </w:p>
    <w:p w14:paraId="456B2DBA" w14:textId="77777777" w:rsidR="002D428F" w:rsidRPr="00850658" w:rsidRDefault="002D428F" w:rsidP="002D428F">
      <w:pPr>
        <w:autoSpaceDE w:val="0"/>
        <w:autoSpaceDN w:val="0"/>
        <w:adjustRightInd w:val="0"/>
        <w:jc w:val="both"/>
        <w:rPr>
          <w:b/>
          <w:bCs/>
        </w:rPr>
      </w:pPr>
      <w:proofErr w:type="gramStart"/>
      <w:r w:rsidRPr="00850658">
        <w:rPr>
          <w:b/>
          <w:bCs/>
        </w:rPr>
        <w:t>against</w:t>
      </w:r>
      <w:proofErr w:type="gramEnd"/>
    </w:p>
    <w:p w14:paraId="3BC60BAB" w14:textId="77777777" w:rsidR="002D428F" w:rsidRPr="00850658" w:rsidRDefault="002D428F" w:rsidP="002D428F">
      <w:pPr>
        <w:autoSpaceDE w:val="0"/>
        <w:autoSpaceDN w:val="0"/>
        <w:adjustRightInd w:val="0"/>
        <w:jc w:val="both"/>
        <w:rPr>
          <w:b/>
          <w:bCs/>
        </w:rPr>
      </w:pPr>
    </w:p>
    <w:p w14:paraId="37BA6375" w14:textId="77777777" w:rsidR="002D428F" w:rsidRPr="00850658" w:rsidRDefault="002D428F" w:rsidP="002D428F">
      <w:pPr>
        <w:autoSpaceDE w:val="0"/>
        <w:autoSpaceDN w:val="0"/>
        <w:adjustRightInd w:val="0"/>
        <w:jc w:val="both"/>
        <w:rPr>
          <w:b/>
          <w:bCs/>
        </w:rPr>
      </w:pPr>
      <w:r w:rsidRPr="00850658">
        <w:rPr>
          <w:b/>
          <w:bCs/>
        </w:rPr>
        <w:t xml:space="preserve">UNMIK </w:t>
      </w:r>
    </w:p>
    <w:p w14:paraId="04864C29" w14:textId="77777777" w:rsidR="00E07C8C" w:rsidRPr="00850658" w:rsidRDefault="00E07C8C" w:rsidP="000F7E70">
      <w:pPr>
        <w:autoSpaceDE w:val="0"/>
        <w:jc w:val="both"/>
        <w:rPr>
          <w:b/>
          <w:bCs/>
        </w:rPr>
      </w:pPr>
    </w:p>
    <w:p w14:paraId="2F246D67" w14:textId="77777777" w:rsidR="004202B2" w:rsidRPr="00850658" w:rsidRDefault="004202B2" w:rsidP="000F7E70">
      <w:pPr>
        <w:autoSpaceDE w:val="0"/>
        <w:jc w:val="both"/>
        <w:rPr>
          <w:b/>
          <w:bCs/>
        </w:rPr>
      </w:pPr>
    </w:p>
    <w:p w14:paraId="2385DE37" w14:textId="3E87CA35" w:rsidR="002D428F" w:rsidRPr="00850658" w:rsidRDefault="002D428F" w:rsidP="002D428F">
      <w:pPr>
        <w:autoSpaceDE w:val="0"/>
        <w:jc w:val="both"/>
      </w:pPr>
      <w:r w:rsidRPr="00850658">
        <w:t xml:space="preserve">The Human Rights Advisory Panel, on </w:t>
      </w:r>
      <w:r w:rsidR="004817F4" w:rsidRPr="00850658">
        <w:t>20</w:t>
      </w:r>
      <w:r w:rsidR="00FE4EBC" w:rsidRPr="00850658">
        <w:t xml:space="preserve"> </w:t>
      </w:r>
      <w:r w:rsidR="00F47469" w:rsidRPr="00850658">
        <w:t>March</w:t>
      </w:r>
      <w:r w:rsidR="00552E02" w:rsidRPr="00850658">
        <w:t xml:space="preserve"> 2015</w:t>
      </w:r>
      <w:r w:rsidRPr="00850658">
        <w:t>,</w:t>
      </w:r>
    </w:p>
    <w:p w14:paraId="61AA96A1" w14:textId="7D3C048C" w:rsidR="002D428F" w:rsidRPr="00850658" w:rsidRDefault="002D428F" w:rsidP="002D428F">
      <w:pPr>
        <w:autoSpaceDE w:val="0"/>
        <w:jc w:val="both"/>
      </w:pPr>
      <w:proofErr w:type="gramStart"/>
      <w:r w:rsidRPr="00850658">
        <w:t>with</w:t>
      </w:r>
      <w:proofErr w:type="gramEnd"/>
      <w:r w:rsidRPr="00850658">
        <w:t xml:space="preserve"> the following members </w:t>
      </w:r>
      <w:r w:rsidR="000A7BA0" w:rsidRPr="00850658">
        <w:t>taking part</w:t>
      </w:r>
      <w:r w:rsidRPr="00850658">
        <w:t>:</w:t>
      </w:r>
    </w:p>
    <w:p w14:paraId="68619699" w14:textId="77777777" w:rsidR="002D428F" w:rsidRPr="00850658" w:rsidRDefault="002D428F" w:rsidP="002D428F">
      <w:pPr>
        <w:autoSpaceDE w:val="0"/>
        <w:jc w:val="both"/>
      </w:pPr>
    </w:p>
    <w:p w14:paraId="02DB4BF2" w14:textId="77777777" w:rsidR="002D428F" w:rsidRPr="00850658" w:rsidRDefault="002D428F" w:rsidP="002D428F">
      <w:pPr>
        <w:autoSpaceDE w:val="0"/>
        <w:jc w:val="both"/>
      </w:pPr>
      <w:r w:rsidRPr="00850658">
        <w:t>Marek Nowicki, Presiding Member</w:t>
      </w:r>
    </w:p>
    <w:p w14:paraId="31FD26A8" w14:textId="77777777" w:rsidR="002D428F" w:rsidRPr="00850658" w:rsidRDefault="002D428F" w:rsidP="002D428F">
      <w:pPr>
        <w:autoSpaceDE w:val="0"/>
        <w:jc w:val="both"/>
      </w:pPr>
      <w:r w:rsidRPr="00850658">
        <w:t>Christine Chinkin</w:t>
      </w:r>
    </w:p>
    <w:p w14:paraId="57C0C729" w14:textId="77777777" w:rsidR="002D428F" w:rsidRPr="00850658" w:rsidRDefault="002D428F" w:rsidP="002D428F">
      <w:pPr>
        <w:autoSpaceDE w:val="0"/>
        <w:jc w:val="both"/>
      </w:pPr>
      <w:r w:rsidRPr="00850658">
        <w:t>Françoise Tulkens</w:t>
      </w:r>
    </w:p>
    <w:p w14:paraId="19A54F5B" w14:textId="77777777" w:rsidR="002D428F" w:rsidRPr="00850658" w:rsidRDefault="002D428F" w:rsidP="002D428F">
      <w:pPr>
        <w:autoSpaceDE w:val="0"/>
        <w:jc w:val="both"/>
      </w:pPr>
    </w:p>
    <w:p w14:paraId="75E21944" w14:textId="77777777" w:rsidR="002D428F" w:rsidRPr="00850658" w:rsidRDefault="002D428F" w:rsidP="002D428F">
      <w:pPr>
        <w:autoSpaceDE w:val="0"/>
        <w:jc w:val="both"/>
      </w:pPr>
      <w:r w:rsidRPr="00850658">
        <w:t>Assisted by</w:t>
      </w:r>
    </w:p>
    <w:p w14:paraId="7DF04348" w14:textId="77777777" w:rsidR="002D428F" w:rsidRPr="00850658" w:rsidRDefault="002D428F" w:rsidP="002D428F">
      <w:pPr>
        <w:autoSpaceDE w:val="0"/>
        <w:jc w:val="both"/>
      </w:pPr>
    </w:p>
    <w:p w14:paraId="05520B7C" w14:textId="77777777" w:rsidR="002D428F" w:rsidRPr="00850658" w:rsidRDefault="002D428F" w:rsidP="002D428F">
      <w:pPr>
        <w:autoSpaceDE w:val="0"/>
        <w:jc w:val="both"/>
      </w:pPr>
      <w:r w:rsidRPr="00850658">
        <w:t>Andrey Antonov, Executive Officer</w:t>
      </w:r>
    </w:p>
    <w:p w14:paraId="378F3DEF" w14:textId="77777777" w:rsidR="002D428F" w:rsidRPr="00850658" w:rsidRDefault="002D428F" w:rsidP="002D428F">
      <w:pPr>
        <w:autoSpaceDE w:val="0"/>
        <w:jc w:val="both"/>
      </w:pPr>
    </w:p>
    <w:p w14:paraId="0D47C1E9" w14:textId="77777777" w:rsidR="002D428F" w:rsidRPr="00850658" w:rsidRDefault="002D428F" w:rsidP="002D428F">
      <w:pPr>
        <w:autoSpaceDE w:val="0"/>
        <w:jc w:val="both"/>
      </w:pPr>
    </w:p>
    <w:p w14:paraId="14E6B115" w14:textId="77777777" w:rsidR="00F47469" w:rsidRPr="00850658" w:rsidRDefault="00F47469" w:rsidP="00F47469">
      <w:pPr>
        <w:autoSpaceDE w:val="0"/>
        <w:jc w:val="both"/>
      </w:pPr>
      <w:r w:rsidRPr="00850658">
        <w:t>Having considered the aforementioned complaints, introduced pursuant to Section 1.2 of UNMIK Regulation No. 2006/12 of 23 March 2006 on the establishment of the Human Rights Advisory Panel,</w:t>
      </w:r>
    </w:p>
    <w:p w14:paraId="71243743" w14:textId="77777777" w:rsidR="00F47469" w:rsidRPr="00850658" w:rsidRDefault="00F47469" w:rsidP="00F47469">
      <w:pPr>
        <w:autoSpaceDE w:val="0"/>
        <w:jc w:val="both"/>
      </w:pPr>
    </w:p>
    <w:p w14:paraId="1568EDDE" w14:textId="77777777" w:rsidR="00F47469" w:rsidRPr="00850658" w:rsidRDefault="00F47469" w:rsidP="00F47469">
      <w:pPr>
        <w:autoSpaceDE w:val="0"/>
        <w:jc w:val="both"/>
      </w:pPr>
      <w:r w:rsidRPr="00850658">
        <w:t>Having deliberated, including through electronic means, in accordance with Rule 13 § 2 of its Rules of Procedure, makes the following findings and recommendations:</w:t>
      </w:r>
    </w:p>
    <w:p w14:paraId="757A201B" w14:textId="77777777" w:rsidR="002D428F" w:rsidRPr="00850658" w:rsidRDefault="002D428F" w:rsidP="002D428F">
      <w:pPr>
        <w:autoSpaceDE w:val="0"/>
        <w:jc w:val="both"/>
      </w:pPr>
    </w:p>
    <w:p w14:paraId="692EB06E" w14:textId="77777777" w:rsidR="00022E69" w:rsidRPr="00850658" w:rsidRDefault="00022E69" w:rsidP="000F7E70">
      <w:pPr>
        <w:autoSpaceDE w:val="0"/>
        <w:jc w:val="both"/>
      </w:pPr>
    </w:p>
    <w:p w14:paraId="3F335948" w14:textId="77777777" w:rsidR="0016154E" w:rsidRPr="00850658" w:rsidRDefault="0016154E" w:rsidP="00B50188">
      <w:pPr>
        <w:numPr>
          <w:ilvl w:val="0"/>
          <w:numId w:val="1"/>
        </w:numPr>
        <w:suppressAutoHyphens/>
        <w:autoSpaceDE w:val="0"/>
        <w:ind w:left="360" w:hanging="360"/>
        <w:jc w:val="both"/>
        <w:rPr>
          <w:b/>
          <w:bCs/>
        </w:rPr>
      </w:pPr>
      <w:r w:rsidRPr="00850658">
        <w:rPr>
          <w:b/>
          <w:bCs/>
        </w:rPr>
        <w:t>PROCEEDINGS BEFORE THE PANEL</w:t>
      </w:r>
    </w:p>
    <w:p w14:paraId="2FF4F985" w14:textId="77777777" w:rsidR="00E327E1" w:rsidRPr="00850658" w:rsidRDefault="00E327E1" w:rsidP="00E327E1">
      <w:pPr>
        <w:pStyle w:val="Default"/>
        <w:ind w:left="360"/>
        <w:jc w:val="both"/>
        <w:rPr>
          <w:color w:val="auto"/>
          <w:lang w:val="en-GB"/>
        </w:rPr>
      </w:pPr>
    </w:p>
    <w:p w14:paraId="64153F67" w14:textId="77777777" w:rsidR="00647FB1" w:rsidRPr="00850658" w:rsidRDefault="00647FB1" w:rsidP="00647FB1">
      <w:pPr>
        <w:pStyle w:val="Default"/>
        <w:numPr>
          <w:ilvl w:val="0"/>
          <w:numId w:val="2"/>
        </w:numPr>
        <w:jc w:val="both"/>
        <w:rPr>
          <w:color w:val="auto"/>
          <w:lang w:val="en-GB"/>
        </w:rPr>
      </w:pPr>
      <w:r w:rsidRPr="00850658">
        <w:rPr>
          <w:color w:val="auto"/>
          <w:lang w:val="en-GB"/>
        </w:rPr>
        <w:t>The complaint</w:t>
      </w:r>
      <w:r w:rsidR="009D27AD" w:rsidRPr="00850658">
        <w:rPr>
          <w:color w:val="auto"/>
          <w:lang w:val="en-GB"/>
        </w:rPr>
        <w:t xml:space="preserve"> was introduced </w:t>
      </w:r>
      <w:r w:rsidR="00A62C6D" w:rsidRPr="00850658">
        <w:rPr>
          <w:color w:val="auto"/>
          <w:lang w:val="en-GB"/>
        </w:rPr>
        <w:t xml:space="preserve">on </w:t>
      </w:r>
      <w:r w:rsidR="00F47469" w:rsidRPr="00850658">
        <w:rPr>
          <w:color w:val="auto"/>
        </w:rPr>
        <w:t xml:space="preserve">6 </w:t>
      </w:r>
      <w:r w:rsidR="00552E02" w:rsidRPr="00850658">
        <w:rPr>
          <w:color w:val="auto"/>
        </w:rPr>
        <w:t>April 2009 and registered on 30 April 2009</w:t>
      </w:r>
      <w:r w:rsidRPr="00850658">
        <w:rPr>
          <w:color w:val="auto"/>
          <w:lang w:val="en-GB"/>
        </w:rPr>
        <w:t xml:space="preserve">. </w:t>
      </w:r>
    </w:p>
    <w:p w14:paraId="1E2E3553" w14:textId="77777777" w:rsidR="00647FB1" w:rsidRPr="00850658" w:rsidRDefault="00647FB1" w:rsidP="00C45577">
      <w:pPr>
        <w:pStyle w:val="Default"/>
        <w:jc w:val="both"/>
        <w:rPr>
          <w:color w:val="auto"/>
          <w:lang w:val="en-GB"/>
        </w:rPr>
      </w:pPr>
    </w:p>
    <w:p w14:paraId="6DC081FF" w14:textId="77777777" w:rsidR="007F7232" w:rsidRPr="00850658" w:rsidRDefault="007F7232" w:rsidP="007F7232">
      <w:pPr>
        <w:pStyle w:val="Default"/>
        <w:numPr>
          <w:ilvl w:val="0"/>
          <w:numId w:val="2"/>
        </w:numPr>
        <w:jc w:val="both"/>
        <w:rPr>
          <w:color w:val="auto"/>
          <w:lang w:val="en-GB"/>
        </w:rPr>
      </w:pPr>
      <w:r w:rsidRPr="00850658">
        <w:rPr>
          <w:color w:val="auto"/>
          <w:lang w:val="en-GB"/>
        </w:rPr>
        <w:t>On 23 December 2009</w:t>
      </w:r>
      <w:r w:rsidR="00F47469" w:rsidRPr="00850658">
        <w:rPr>
          <w:color w:val="auto"/>
          <w:lang w:val="en-GB"/>
        </w:rPr>
        <w:t xml:space="preserve"> and 12 May 2010</w:t>
      </w:r>
      <w:r w:rsidRPr="00850658">
        <w:rPr>
          <w:color w:val="auto"/>
          <w:lang w:val="en-GB"/>
        </w:rPr>
        <w:t xml:space="preserve">, the Panel requested further information from the complainant. </w:t>
      </w:r>
      <w:r w:rsidR="00F47469" w:rsidRPr="00850658">
        <w:rPr>
          <w:color w:val="auto"/>
          <w:lang w:val="en-GB"/>
        </w:rPr>
        <w:t>No response was received.</w:t>
      </w:r>
    </w:p>
    <w:p w14:paraId="0D481378" w14:textId="77777777" w:rsidR="002E0AF3" w:rsidRPr="00850658" w:rsidRDefault="002E0AF3" w:rsidP="00A62C6D">
      <w:pPr>
        <w:pStyle w:val="Default"/>
        <w:ind w:left="360"/>
        <w:jc w:val="both"/>
        <w:rPr>
          <w:color w:val="auto"/>
          <w:lang w:val="en-GB"/>
        </w:rPr>
      </w:pPr>
    </w:p>
    <w:p w14:paraId="211F9193" w14:textId="77777777" w:rsidR="002E0AF3" w:rsidRPr="00850658" w:rsidRDefault="007F7232" w:rsidP="00284A77">
      <w:pPr>
        <w:numPr>
          <w:ilvl w:val="0"/>
          <w:numId w:val="2"/>
        </w:numPr>
        <w:jc w:val="both"/>
        <w:rPr>
          <w:b/>
        </w:rPr>
      </w:pPr>
      <w:r w:rsidRPr="00850658">
        <w:t xml:space="preserve">On </w:t>
      </w:r>
      <w:r w:rsidR="00F47469" w:rsidRPr="00850658">
        <w:t>9 January 2012</w:t>
      </w:r>
      <w:r w:rsidR="002E0AF3" w:rsidRPr="00850658">
        <w:t>, the complaint was communicated to the Special Representative of the Secretary-General (SRSG)</w:t>
      </w:r>
      <w:r w:rsidR="00022E69" w:rsidRPr="00850658">
        <w:rPr>
          <w:rStyle w:val="FootnoteReference"/>
        </w:rPr>
        <w:footnoteReference w:id="1"/>
      </w:r>
      <w:r w:rsidR="002E0AF3" w:rsidRPr="00850658">
        <w:t>, for UNMIK’s comments on the admi</w:t>
      </w:r>
      <w:r w:rsidR="00647FB1" w:rsidRPr="00850658">
        <w:t xml:space="preserve">ssibility of the complaint. On </w:t>
      </w:r>
      <w:r w:rsidR="00F47469" w:rsidRPr="00850658">
        <w:t xml:space="preserve">23 February </w:t>
      </w:r>
      <w:r w:rsidRPr="00850658">
        <w:t>2012</w:t>
      </w:r>
      <w:r w:rsidR="002E0AF3" w:rsidRPr="00850658">
        <w:t xml:space="preserve">, </w:t>
      </w:r>
      <w:r w:rsidR="00E35F59" w:rsidRPr="00850658">
        <w:t>the SRSG submitted UNMIK’s</w:t>
      </w:r>
      <w:r w:rsidR="002E0AF3" w:rsidRPr="00850658">
        <w:t xml:space="preserve"> response. </w:t>
      </w:r>
    </w:p>
    <w:p w14:paraId="532089F8" w14:textId="77777777" w:rsidR="00E327E1" w:rsidRPr="00850658" w:rsidRDefault="00E327E1" w:rsidP="00647FB1"/>
    <w:p w14:paraId="2259D992" w14:textId="30E23564" w:rsidR="00E327E1" w:rsidRPr="00850658" w:rsidRDefault="00E327E1" w:rsidP="00B50188">
      <w:pPr>
        <w:numPr>
          <w:ilvl w:val="0"/>
          <w:numId w:val="2"/>
        </w:numPr>
        <w:jc w:val="both"/>
        <w:rPr>
          <w:b/>
        </w:rPr>
      </w:pPr>
      <w:r w:rsidRPr="00850658">
        <w:t xml:space="preserve">On </w:t>
      </w:r>
      <w:r w:rsidR="00F47469" w:rsidRPr="00850658">
        <w:t xml:space="preserve">9 June </w:t>
      </w:r>
      <w:r w:rsidRPr="00850658">
        <w:t>201</w:t>
      </w:r>
      <w:r w:rsidR="00991DCC" w:rsidRPr="00850658">
        <w:t>2</w:t>
      </w:r>
      <w:r w:rsidRPr="00850658">
        <w:t>, t</w:t>
      </w:r>
      <w:r w:rsidR="007766DD" w:rsidRPr="00850658">
        <w:t>he Panel declared the complaint</w:t>
      </w:r>
      <w:r w:rsidRPr="00850658">
        <w:t xml:space="preserve"> admissible</w:t>
      </w:r>
      <w:r w:rsidR="004865D9" w:rsidRPr="00850658">
        <w:t>.</w:t>
      </w:r>
    </w:p>
    <w:p w14:paraId="6BFC6DC9" w14:textId="77777777" w:rsidR="00E327E1" w:rsidRPr="00850658" w:rsidRDefault="00E327E1" w:rsidP="00E327E1">
      <w:pPr>
        <w:pStyle w:val="Default"/>
        <w:ind w:left="360"/>
        <w:jc w:val="both"/>
        <w:rPr>
          <w:color w:val="auto"/>
          <w:lang w:val="en-GB"/>
        </w:rPr>
      </w:pPr>
    </w:p>
    <w:p w14:paraId="4E0C9741" w14:textId="77777777" w:rsidR="00144AF1" w:rsidRPr="00850658" w:rsidRDefault="00F855B3" w:rsidP="00144AF1">
      <w:pPr>
        <w:widowControl w:val="0"/>
        <w:numPr>
          <w:ilvl w:val="0"/>
          <w:numId w:val="2"/>
        </w:numPr>
        <w:tabs>
          <w:tab w:val="left" w:pos="1080"/>
        </w:tabs>
        <w:suppressAutoHyphens/>
        <w:jc w:val="both"/>
      </w:pPr>
      <w:r w:rsidRPr="00850658">
        <w:t xml:space="preserve">On </w:t>
      </w:r>
      <w:r w:rsidR="00F47469" w:rsidRPr="00850658">
        <w:t>13 June</w:t>
      </w:r>
      <w:r w:rsidR="007F7232" w:rsidRPr="00850658">
        <w:t xml:space="preserve"> </w:t>
      </w:r>
      <w:r w:rsidR="00991DCC" w:rsidRPr="00850658">
        <w:t>2012</w:t>
      </w:r>
      <w:r w:rsidR="00E327E1" w:rsidRPr="00850658">
        <w:t xml:space="preserve">, </w:t>
      </w:r>
      <w:r w:rsidRPr="00850658">
        <w:t>the Panel forwarded its decision to the SRSG requesting UNMIK’s comments on the merits of the complaint</w:t>
      </w:r>
      <w:r w:rsidR="00672847" w:rsidRPr="00850658">
        <w:t>, as well as copies of the investigative files relevant to the case</w:t>
      </w:r>
      <w:r w:rsidR="00B807FD" w:rsidRPr="00850658">
        <w:t>.</w:t>
      </w:r>
    </w:p>
    <w:p w14:paraId="54136D5B" w14:textId="77777777" w:rsidR="00B807FD" w:rsidRPr="00850658" w:rsidRDefault="00B807FD" w:rsidP="00B807FD">
      <w:pPr>
        <w:widowControl w:val="0"/>
        <w:tabs>
          <w:tab w:val="left" w:pos="1080"/>
        </w:tabs>
        <w:suppressAutoHyphens/>
        <w:jc w:val="both"/>
      </w:pPr>
    </w:p>
    <w:p w14:paraId="0857269C" w14:textId="77777777" w:rsidR="00144AF1" w:rsidRPr="00850658" w:rsidRDefault="00144AF1" w:rsidP="00144AF1">
      <w:pPr>
        <w:numPr>
          <w:ilvl w:val="0"/>
          <w:numId w:val="2"/>
        </w:numPr>
        <w:jc w:val="both"/>
      </w:pPr>
      <w:bookmarkStart w:id="1" w:name="_Ref411948649"/>
      <w:r w:rsidRPr="00850658">
        <w:t>Following the Panel’s inquiries, on 4 October 2012, UNMIK requested the Archives and Records Management Section of the United Nations’ (UN) Headquarters in New York to locate and return to UNMIK a number of investigative files related to the complaints before the HRAP.</w:t>
      </w:r>
      <w:bookmarkEnd w:id="1"/>
    </w:p>
    <w:p w14:paraId="1270ED64" w14:textId="77777777" w:rsidR="00144AF1" w:rsidRPr="00850658" w:rsidRDefault="00144AF1" w:rsidP="00144AF1">
      <w:pPr>
        <w:ind w:left="360"/>
        <w:jc w:val="both"/>
      </w:pPr>
    </w:p>
    <w:p w14:paraId="114FCA15" w14:textId="77777777" w:rsidR="00144AF1" w:rsidRPr="00850658" w:rsidRDefault="00144AF1" w:rsidP="00B807FD">
      <w:pPr>
        <w:numPr>
          <w:ilvl w:val="0"/>
          <w:numId w:val="2"/>
        </w:numPr>
        <w:jc w:val="both"/>
      </w:pPr>
      <w:bookmarkStart w:id="2" w:name="_Ref411934181"/>
      <w:r w:rsidRPr="00850658">
        <w:t>On 14 December 2012, UNMIK received the requested investigative files from the UN Headquarters in New York. On 17 December 2012, UNMIK presented those documents, incl</w:t>
      </w:r>
      <w:r w:rsidR="00B807FD" w:rsidRPr="00850658">
        <w:t>uding the files related to this complaint</w:t>
      </w:r>
      <w:r w:rsidRPr="00850658">
        <w:t>, to the Panel.</w:t>
      </w:r>
      <w:bookmarkEnd w:id="2"/>
    </w:p>
    <w:p w14:paraId="3D08364F" w14:textId="77777777" w:rsidR="00B807FD" w:rsidRPr="00850658" w:rsidRDefault="00B807FD" w:rsidP="00B807FD">
      <w:pPr>
        <w:pStyle w:val="ListParagraph"/>
      </w:pPr>
    </w:p>
    <w:p w14:paraId="7F1854C1" w14:textId="77777777" w:rsidR="00B807FD" w:rsidRPr="00850658" w:rsidRDefault="00B807FD" w:rsidP="00B807FD">
      <w:pPr>
        <w:widowControl w:val="0"/>
        <w:numPr>
          <w:ilvl w:val="0"/>
          <w:numId w:val="2"/>
        </w:numPr>
        <w:tabs>
          <w:tab w:val="left" w:pos="1080"/>
        </w:tabs>
        <w:suppressAutoHyphens/>
        <w:jc w:val="both"/>
      </w:pPr>
      <w:r w:rsidRPr="00850658">
        <w:t xml:space="preserve">On </w:t>
      </w:r>
      <w:r w:rsidR="00BD5A31" w:rsidRPr="00850658">
        <w:t>11 February 2013</w:t>
      </w:r>
      <w:r w:rsidRPr="00850658">
        <w:t>, the SRSG provided UNMIK’s comments on the merits of the complaint.</w:t>
      </w:r>
    </w:p>
    <w:p w14:paraId="63786B12" w14:textId="77777777" w:rsidR="00CE1F33" w:rsidRPr="00850658" w:rsidRDefault="00CE1F33" w:rsidP="00CE1F33">
      <w:pPr>
        <w:pStyle w:val="ListParagraph"/>
      </w:pPr>
    </w:p>
    <w:p w14:paraId="1DB06E3A" w14:textId="0DFD6D6E" w:rsidR="00CE1F33" w:rsidRPr="00850658" w:rsidRDefault="00647FB1" w:rsidP="00B50188">
      <w:pPr>
        <w:pStyle w:val="Default"/>
        <w:numPr>
          <w:ilvl w:val="0"/>
          <w:numId w:val="2"/>
        </w:numPr>
        <w:jc w:val="both"/>
        <w:rPr>
          <w:color w:val="auto"/>
          <w:lang w:val="en-GB"/>
        </w:rPr>
      </w:pPr>
      <w:bookmarkStart w:id="3" w:name="_Ref373944367"/>
      <w:bookmarkStart w:id="4" w:name="_Ref411948684"/>
      <w:r w:rsidRPr="00850658">
        <w:rPr>
          <w:color w:val="auto"/>
          <w:lang w:val="en-GB"/>
        </w:rPr>
        <w:t xml:space="preserve">On </w:t>
      </w:r>
      <w:r w:rsidR="00EE3C5B" w:rsidRPr="00850658">
        <w:rPr>
          <w:color w:val="auto"/>
          <w:lang w:val="en-GB"/>
        </w:rPr>
        <w:t>4 March</w:t>
      </w:r>
      <w:r w:rsidR="00BD5A31" w:rsidRPr="00850658">
        <w:rPr>
          <w:color w:val="auto"/>
          <w:lang w:val="en-GB"/>
        </w:rPr>
        <w:t xml:space="preserve"> </w:t>
      </w:r>
      <w:r w:rsidR="00ED668C" w:rsidRPr="00850658">
        <w:rPr>
          <w:color w:val="auto"/>
          <w:lang w:val="en-GB"/>
        </w:rPr>
        <w:t>201</w:t>
      </w:r>
      <w:r w:rsidR="00144AF1" w:rsidRPr="00850658">
        <w:rPr>
          <w:color w:val="auto"/>
          <w:lang w:val="en-GB"/>
        </w:rPr>
        <w:t>5</w:t>
      </w:r>
      <w:r w:rsidR="00CE1F33" w:rsidRPr="00850658">
        <w:rPr>
          <w:color w:val="auto"/>
          <w:lang w:val="en-GB"/>
        </w:rPr>
        <w:t>, the Pa</w:t>
      </w:r>
      <w:r w:rsidR="00764FB4" w:rsidRPr="00850658">
        <w:rPr>
          <w:color w:val="auto"/>
          <w:lang w:val="en-GB"/>
        </w:rPr>
        <w:t>nel requested UNMIK to confirm i</w:t>
      </w:r>
      <w:r w:rsidR="00CE1F33" w:rsidRPr="00850658">
        <w:rPr>
          <w:color w:val="auto"/>
          <w:lang w:val="en-GB"/>
        </w:rPr>
        <w:t>f the disclosure of files concerning the case could be considered final.</w:t>
      </w:r>
      <w:r w:rsidR="00121E9E" w:rsidRPr="00850658">
        <w:rPr>
          <w:color w:val="auto"/>
          <w:lang w:val="en-GB"/>
        </w:rPr>
        <w:t xml:space="preserve"> </w:t>
      </w:r>
      <w:bookmarkStart w:id="5" w:name="_Ref368060542"/>
      <w:r w:rsidR="00144AF1" w:rsidRPr="00850658">
        <w:rPr>
          <w:color w:val="auto"/>
          <w:lang w:val="en-GB"/>
        </w:rPr>
        <w:t xml:space="preserve">On </w:t>
      </w:r>
      <w:r w:rsidR="00EE3C5B" w:rsidRPr="00850658">
        <w:rPr>
          <w:color w:val="auto"/>
          <w:lang w:val="en-GB"/>
        </w:rPr>
        <w:t>17 March</w:t>
      </w:r>
      <w:r w:rsidR="00BD5A31" w:rsidRPr="00850658">
        <w:rPr>
          <w:color w:val="auto"/>
          <w:lang w:val="en-GB"/>
        </w:rPr>
        <w:t xml:space="preserve"> </w:t>
      </w:r>
      <w:r w:rsidR="00144AF1" w:rsidRPr="00850658">
        <w:rPr>
          <w:color w:val="auto"/>
          <w:lang w:val="en-GB"/>
        </w:rPr>
        <w:t>2015</w:t>
      </w:r>
      <w:r w:rsidR="00CE1F33" w:rsidRPr="00850658">
        <w:rPr>
          <w:color w:val="auto"/>
          <w:lang w:val="en-GB"/>
        </w:rPr>
        <w:t>, UNMIK provided its response</w:t>
      </w:r>
      <w:bookmarkEnd w:id="3"/>
      <w:bookmarkEnd w:id="5"/>
      <w:r w:rsidR="002948A6" w:rsidRPr="00850658">
        <w:rPr>
          <w:color w:val="auto"/>
          <w:lang w:val="en-GB"/>
        </w:rPr>
        <w:t>.</w:t>
      </w:r>
      <w:bookmarkEnd w:id="4"/>
    </w:p>
    <w:p w14:paraId="14817500" w14:textId="77777777" w:rsidR="00121E9E" w:rsidRPr="00850658" w:rsidRDefault="00121E9E" w:rsidP="001F3C32"/>
    <w:p w14:paraId="457230E1" w14:textId="77777777" w:rsidR="00121E9E" w:rsidRPr="00850658" w:rsidRDefault="00121E9E" w:rsidP="008766C9">
      <w:pPr>
        <w:pStyle w:val="ListParagraph"/>
      </w:pPr>
    </w:p>
    <w:p w14:paraId="48CA0433" w14:textId="77777777" w:rsidR="000F6E16" w:rsidRPr="00850658" w:rsidRDefault="007C65E0" w:rsidP="00B50188">
      <w:pPr>
        <w:numPr>
          <w:ilvl w:val="0"/>
          <w:numId w:val="1"/>
        </w:numPr>
        <w:suppressAutoHyphens/>
        <w:autoSpaceDE w:val="0"/>
        <w:ind w:left="360" w:hanging="360"/>
        <w:jc w:val="both"/>
        <w:rPr>
          <w:b/>
          <w:bCs/>
        </w:rPr>
      </w:pPr>
      <w:r w:rsidRPr="00850658">
        <w:rPr>
          <w:b/>
          <w:bCs/>
        </w:rPr>
        <w:t>THE FACTS</w:t>
      </w:r>
    </w:p>
    <w:p w14:paraId="090FF7EA" w14:textId="77777777" w:rsidR="000F6E16" w:rsidRPr="00850658" w:rsidRDefault="000F6E16" w:rsidP="000F6E16">
      <w:pPr>
        <w:suppressAutoHyphens/>
        <w:autoSpaceDE w:val="0"/>
        <w:ind w:left="360"/>
        <w:jc w:val="both"/>
        <w:rPr>
          <w:b/>
          <w:bCs/>
        </w:rPr>
      </w:pPr>
    </w:p>
    <w:p w14:paraId="44A68840" w14:textId="77777777" w:rsidR="00680EF0" w:rsidRPr="00850658" w:rsidRDefault="00680EF0" w:rsidP="00B50188">
      <w:pPr>
        <w:numPr>
          <w:ilvl w:val="0"/>
          <w:numId w:val="3"/>
        </w:numPr>
        <w:contextualSpacing/>
        <w:jc w:val="both"/>
        <w:rPr>
          <w:b/>
        </w:rPr>
      </w:pPr>
      <w:r w:rsidRPr="00850658">
        <w:rPr>
          <w:b/>
        </w:rPr>
        <w:t>General background</w:t>
      </w:r>
      <w:r w:rsidRPr="00850658">
        <w:rPr>
          <w:rStyle w:val="FootnoteReference"/>
          <w:b/>
        </w:rPr>
        <w:footnoteReference w:id="2"/>
      </w:r>
      <w:r w:rsidRPr="00850658">
        <w:rPr>
          <w:b/>
        </w:rPr>
        <w:t xml:space="preserve"> </w:t>
      </w:r>
    </w:p>
    <w:p w14:paraId="43C5DA96" w14:textId="77777777" w:rsidR="00680EF0" w:rsidRPr="00850658" w:rsidRDefault="00680EF0" w:rsidP="00680EF0">
      <w:pPr>
        <w:ind w:left="360"/>
        <w:contextualSpacing/>
        <w:jc w:val="both"/>
        <w:rPr>
          <w:b/>
        </w:rPr>
      </w:pPr>
    </w:p>
    <w:p w14:paraId="185F9672" w14:textId="77777777" w:rsidR="00574094" w:rsidRPr="00850658" w:rsidRDefault="00574094" w:rsidP="00574094">
      <w:pPr>
        <w:pStyle w:val="ListParagraph"/>
        <w:numPr>
          <w:ilvl w:val="0"/>
          <w:numId w:val="2"/>
        </w:numPr>
        <w:jc w:val="both"/>
      </w:pPr>
      <w:r w:rsidRPr="00850658">
        <w:lastRenderedPageBreak/>
        <w:t>The events at issue took place in the territory of Kosovo</w:t>
      </w:r>
      <w:r w:rsidR="002948A6" w:rsidRPr="00850658">
        <w:t xml:space="preserve"> </w:t>
      </w:r>
      <w:r w:rsidR="00144AF1" w:rsidRPr="00850658">
        <w:t xml:space="preserve">shortly </w:t>
      </w:r>
      <w:r w:rsidR="00BC568C" w:rsidRPr="00850658">
        <w:t>after</w:t>
      </w:r>
      <w:r w:rsidRPr="00850658">
        <w:t xml:space="preserve"> the establishment in June 1999 of the United Nations Interim Administration Mission in Kosovo (UNMIK).</w:t>
      </w:r>
    </w:p>
    <w:p w14:paraId="261B40BF" w14:textId="77777777" w:rsidR="00C75A82" w:rsidRPr="00850658" w:rsidRDefault="00C75A82" w:rsidP="00C75A82">
      <w:pPr>
        <w:tabs>
          <w:tab w:val="left" w:pos="360"/>
        </w:tabs>
        <w:ind w:left="360" w:hanging="360"/>
        <w:jc w:val="both"/>
      </w:pPr>
    </w:p>
    <w:p w14:paraId="7E8FB51A" w14:textId="77777777" w:rsidR="00C75A82" w:rsidRPr="00850658" w:rsidRDefault="00C75A82" w:rsidP="00B50188">
      <w:pPr>
        <w:widowControl w:val="0"/>
        <w:numPr>
          <w:ilvl w:val="0"/>
          <w:numId w:val="2"/>
        </w:numPr>
        <w:tabs>
          <w:tab w:val="left" w:pos="1080"/>
        </w:tabs>
        <w:suppressAutoHyphens/>
        <w:jc w:val="both"/>
      </w:pPr>
      <w:r w:rsidRPr="00850658">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14:paraId="6A239EDA" w14:textId="77777777" w:rsidR="00C75A82" w:rsidRPr="00850658" w:rsidRDefault="00C75A82" w:rsidP="00C75A82">
      <w:pPr>
        <w:tabs>
          <w:tab w:val="left" w:pos="360"/>
        </w:tabs>
        <w:ind w:left="360" w:hanging="360"/>
        <w:jc w:val="both"/>
      </w:pPr>
    </w:p>
    <w:p w14:paraId="73920D80" w14:textId="77777777" w:rsidR="00C75A82" w:rsidRPr="00850658" w:rsidRDefault="00FE0FB0" w:rsidP="00FE0FB0">
      <w:pPr>
        <w:pStyle w:val="ListParagraph"/>
        <w:numPr>
          <w:ilvl w:val="0"/>
          <w:numId w:val="2"/>
        </w:numPr>
        <w:suppressAutoHyphens w:val="0"/>
        <w:contextualSpacing/>
        <w:jc w:val="both"/>
      </w:pPr>
      <w:bookmarkStart w:id="6" w:name="_Ref373941473"/>
      <w:r w:rsidRPr="00850658">
        <w:t>O</w:t>
      </w:r>
      <w:r w:rsidR="00C75A82" w:rsidRPr="00850658">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6"/>
    </w:p>
    <w:p w14:paraId="451CCE74" w14:textId="77777777" w:rsidR="00C75A82" w:rsidRPr="00850658" w:rsidRDefault="00C75A82" w:rsidP="00C75A82">
      <w:pPr>
        <w:tabs>
          <w:tab w:val="left" w:pos="360"/>
        </w:tabs>
        <w:ind w:left="360" w:hanging="360"/>
        <w:jc w:val="both"/>
      </w:pPr>
    </w:p>
    <w:p w14:paraId="7D2901CB" w14:textId="77777777" w:rsidR="00C75A82" w:rsidRPr="00850658" w:rsidRDefault="00C75A82" w:rsidP="00B50188">
      <w:pPr>
        <w:pStyle w:val="ListParagraph"/>
        <w:numPr>
          <w:ilvl w:val="0"/>
          <w:numId w:val="2"/>
        </w:numPr>
        <w:suppressAutoHyphens w:val="0"/>
        <w:contextualSpacing/>
        <w:jc w:val="both"/>
      </w:pPr>
      <w:r w:rsidRPr="00850658">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14:paraId="2936B7CB" w14:textId="77777777" w:rsidR="00C75A82" w:rsidRPr="00850658" w:rsidRDefault="00C75A82" w:rsidP="00C75A82">
      <w:pPr>
        <w:pStyle w:val="ListParagraph"/>
        <w:tabs>
          <w:tab w:val="left" w:pos="360"/>
        </w:tabs>
        <w:ind w:left="360" w:hanging="360"/>
      </w:pPr>
    </w:p>
    <w:p w14:paraId="3335A1B7" w14:textId="77777777" w:rsidR="00C75A82" w:rsidRPr="00850658" w:rsidRDefault="00C75A82" w:rsidP="00B50188">
      <w:pPr>
        <w:pStyle w:val="ListParagraph"/>
        <w:numPr>
          <w:ilvl w:val="0"/>
          <w:numId w:val="2"/>
        </w:numPr>
        <w:suppressAutoHyphens w:val="0"/>
        <w:contextualSpacing/>
        <w:jc w:val="both"/>
      </w:pPr>
      <w:r w:rsidRPr="00850658">
        <w:t>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w:t>
      </w:r>
      <w:r w:rsidR="00BD5A31" w:rsidRPr="00850658">
        <w:t>ian</w:t>
      </w:r>
      <w:r w:rsidRPr="00850658">
        <w:t xml:space="preserve">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14:paraId="2B89C173" w14:textId="77777777" w:rsidR="00C75A82" w:rsidRPr="00850658" w:rsidRDefault="00C75A82" w:rsidP="00C75A82">
      <w:pPr>
        <w:pStyle w:val="ListParagraph"/>
        <w:tabs>
          <w:tab w:val="left" w:pos="360"/>
        </w:tabs>
        <w:ind w:left="360" w:hanging="360"/>
      </w:pPr>
    </w:p>
    <w:p w14:paraId="5ECF15B1" w14:textId="77777777" w:rsidR="00C75A82" w:rsidRPr="00850658" w:rsidRDefault="00C75A82" w:rsidP="00B50188">
      <w:pPr>
        <w:pStyle w:val="ListParagraph"/>
        <w:numPr>
          <w:ilvl w:val="0"/>
          <w:numId w:val="2"/>
        </w:numPr>
        <w:suppressAutoHyphens w:val="0"/>
        <w:contextualSpacing/>
        <w:jc w:val="both"/>
      </w:pPr>
      <w:r w:rsidRPr="00850658">
        <w:lastRenderedPageBreak/>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14:paraId="49801AFD" w14:textId="77777777" w:rsidR="00C75A82" w:rsidRPr="00850658" w:rsidRDefault="00C75A82" w:rsidP="00C75A82">
      <w:pPr>
        <w:tabs>
          <w:tab w:val="left" w:pos="360"/>
        </w:tabs>
        <w:ind w:left="360" w:hanging="360"/>
        <w:jc w:val="both"/>
      </w:pPr>
    </w:p>
    <w:p w14:paraId="52984722" w14:textId="77777777" w:rsidR="00C75A82" w:rsidRPr="00850658" w:rsidRDefault="00C75A82" w:rsidP="00B50188">
      <w:pPr>
        <w:numPr>
          <w:ilvl w:val="0"/>
          <w:numId w:val="2"/>
        </w:numPr>
        <w:jc w:val="both"/>
      </w:pPr>
      <w:r w:rsidRPr="00850658">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14:paraId="36EDBA6B" w14:textId="77777777" w:rsidR="00C75A82" w:rsidRPr="00850658" w:rsidRDefault="00C75A82" w:rsidP="00C75A82">
      <w:pPr>
        <w:pStyle w:val="ListParagraph"/>
        <w:tabs>
          <w:tab w:val="left" w:pos="360"/>
        </w:tabs>
        <w:ind w:left="360" w:hanging="360"/>
      </w:pPr>
    </w:p>
    <w:p w14:paraId="59157742" w14:textId="77777777" w:rsidR="00C75A82" w:rsidRPr="00850658" w:rsidRDefault="00C75A82" w:rsidP="00B50188">
      <w:pPr>
        <w:numPr>
          <w:ilvl w:val="0"/>
          <w:numId w:val="2"/>
        </w:numPr>
        <w:jc w:val="both"/>
      </w:pPr>
      <w:bookmarkStart w:id="7" w:name="_Ref346725038"/>
      <w:r w:rsidRPr="00850658">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7"/>
      <w:r w:rsidRPr="00850658">
        <w:t xml:space="preserve"> </w:t>
      </w:r>
    </w:p>
    <w:p w14:paraId="278CF765" w14:textId="77777777" w:rsidR="00C75A82" w:rsidRPr="00850658" w:rsidRDefault="00C75A82" w:rsidP="00C75A82">
      <w:pPr>
        <w:tabs>
          <w:tab w:val="left" w:pos="360"/>
        </w:tabs>
        <w:ind w:left="360" w:hanging="360"/>
        <w:jc w:val="both"/>
      </w:pPr>
    </w:p>
    <w:p w14:paraId="65FB9E0E" w14:textId="77777777" w:rsidR="00C75A82" w:rsidRPr="00850658" w:rsidRDefault="00C75A82" w:rsidP="00B50188">
      <w:pPr>
        <w:numPr>
          <w:ilvl w:val="0"/>
          <w:numId w:val="2"/>
        </w:numPr>
        <w:jc w:val="both"/>
      </w:pPr>
      <w:bookmarkStart w:id="8" w:name="_Ref346123767"/>
      <w:r w:rsidRPr="00850658">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8"/>
      <w:r w:rsidRPr="00850658">
        <w:t xml:space="preserve"> </w:t>
      </w:r>
    </w:p>
    <w:p w14:paraId="00EB5A0E" w14:textId="77777777" w:rsidR="00C75A82" w:rsidRPr="00850658" w:rsidRDefault="00C75A82" w:rsidP="00C75A82">
      <w:pPr>
        <w:tabs>
          <w:tab w:val="left" w:pos="360"/>
        </w:tabs>
        <w:ind w:left="360" w:hanging="360"/>
        <w:jc w:val="both"/>
      </w:pPr>
    </w:p>
    <w:p w14:paraId="5FEA6BD4" w14:textId="77777777" w:rsidR="00C75A82" w:rsidRPr="00850658" w:rsidRDefault="00C75A82" w:rsidP="00B50188">
      <w:pPr>
        <w:numPr>
          <w:ilvl w:val="0"/>
          <w:numId w:val="2"/>
        </w:numPr>
        <w:jc w:val="both"/>
      </w:pPr>
      <w:bookmarkStart w:id="9" w:name="_Ref346725040"/>
      <w:r w:rsidRPr="00850658">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850658">
        <w:t>persons</w:t>
      </w:r>
      <w:proofErr w:type="gramEnd"/>
      <w:r w:rsidRPr="00850658">
        <w:t xml:space="preserve"> cases in Kosovo. In May 2000, a Victim Recovery and Identification Commission (VRIC) chaired by UNMIK </w:t>
      </w:r>
      <w:proofErr w:type="gramStart"/>
      <w:r w:rsidRPr="00850658">
        <w:t>was</w:t>
      </w:r>
      <w:proofErr w:type="gramEnd"/>
      <w:r w:rsidRPr="00850658">
        <w:t xml:space="preserve"> created for the recovery, identification and disposition of mortal remains.</w:t>
      </w:r>
      <w:r w:rsidR="00423598" w:rsidRPr="00850658">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850658">
        <w:t xml:space="preserve"> As of June 2002, the newly established Office on </w:t>
      </w:r>
      <w:r w:rsidRPr="00850658">
        <w:lastRenderedPageBreak/>
        <w:t xml:space="preserve">Missing Persons and Forensics (OMPF) in the UNMIK Department of Justice (DOJ) became the sole authority mandated to determine the whereabouts of missing </w:t>
      </w:r>
      <w:proofErr w:type="gramStart"/>
      <w:r w:rsidRPr="00850658">
        <w:t>persons,</w:t>
      </w:r>
      <w:proofErr w:type="gramEnd"/>
      <w:r w:rsidRPr="00850658">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9"/>
      <w:r w:rsidRPr="00850658">
        <w:t xml:space="preserve"> </w:t>
      </w:r>
    </w:p>
    <w:p w14:paraId="3F378C51" w14:textId="77777777" w:rsidR="00C75A82" w:rsidRPr="00850658" w:rsidRDefault="00C75A82" w:rsidP="00C75A82">
      <w:pPr>
        <w:tabs>
          <w:tab w:val="left" w:pos="360"/>
        </w:tabs>
        <w:ind w:left="360" w:hanging="360"/>
        <w:jc w:val="both"/>
      </w:pPr>
    </w:p>
    <w:p w14:paraId="510EDEBC" w14:textId="77777777" w:rsidR="00C75A82" w:rsidRPr="00850658" w:rsidRDefault="00C75A82" w:rsidP="00B50188">
      <w:pPr>
        <w:numPr>
          <w:ilvl w:val="0"/>
          <w:numId w:val="2"/>
        </w:numPr>
        <w:jc w:val="both"/>
      </w:pPr>
      <w:bookmarkStart w:id="10" w:name="_Ref346123927"/>
      <w:r w:rsidRPr="00850658">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10"/>
    </w:p>
    <w:p w14:paraId="4283ADEF" w14:textId="77777777" w:rsidR="00C75A82" w:rsidRPr="00850658" w:rsidRDefault="00C75A82" w:rsidP="00C75A82">
      <w:pPr>
        <w:pStyle w:val="ListParagraph"/>
        <w:tabs>
          <w:tab w:val="left" w:pos="360"/>
        </w:tabs>
        <w:ind w:left="360" w:hanging="360"/>
      </w:pPr>
    </w:p>
    <w:p w14:paraId="50B48948" w14:textId="77777777" w:rsidR="00680EF0" w:rsidRPr="00850658" w:rsidRDefault="00C75A82" w:rsidP="00B50188">
      <w:pPr>
        <w:numPr>
          <w:ilvl w:val="0"/>
          <w:numId w:val="2"/>
        </w:numPr>
        <w:jc w:val="both"/>
      </w:pPr>
      <w:bookmarkStart w:id="11" w:name="_Ref346123928"/>
      <w:r w:rsidRPr="00850658">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850658">
        <w:t xml:space="preserve">supposed to be </w:t>
      </w:r>
      <w:r w:rsidRPr="00850658">
        <w:t>handed over to EULEX.</w:t>
      </w:r>
      <w:bookmarkEnd w:id="11"/>
    </w:p>
    <w:p w14:paraId="390378BB" w14:textId="77777777" w:rsidR="00242881" w:rsidRPr="00850658" w:rsidRDefault="00242881" w:rsidP="00A73D67">
      <w:pPr>
        <w:ind w:left="360"/>
        <w:jc w:val="both"/>
      </w:pPr>
    </w:p>
    <w:p w14:paraId="553B7526" w14:textId="77777777" w:rsidR="00647FB1" w:rsidRPr="00850658" w:rsidRDefault="00A73D67" w:rsidP="00144AF1">
      <w:pPr>
        <w:pStyle w:val="ListParagraph"/>
        <w:numPr>
          <w:ilvl w:val="0"/>
          <w:numId w:val="3"/>
        </w:numPr>
        <w:autoSpaceDE w:val="0"/>
        <w:jc w:val="both"/>
      </w:pPr>
      <w:r w:rsidRPr="00850658">
        <w:rPr>
          <w:b/>
          <w:bCs/>
        </w:rPr>
        <w:t>Circumstances surrounding the</w:t>
      </w:r>
      <w:r w:rsidR="00622236" w:rsidRPr="00850658">
        <w:rPr>
          <w:b/>
          <w:bCs/>
        </w:rPr>
        <w:t xml:space="preserve"> </w:t>
      </w:r>
      <w:r w:rsidR="00144AF1" w:rsidRPr="00850658">
        <w:rPr>
          <w:b/>
          <w:bCs/>
        </w:rPr>
        <w:t>abduction and disappearance</w:t>
      </w:r>
      <w:r w:rsidR="00E77C72" w:rsidRPr="00850658">
        <w:rPr>
          <w:b/>
          <w:bCs/>
        </w:rPr>
        <w:t xml:space="preserve"> </w:t>
      </w:r>
      <w:r w:rsidR="00CE1874" w:rsidRPr="00850658">
        <w:rPr>
          <w:b/>
          <w:bCs/>
        </w:rPr>
        <w:t xml:space="preserve">of Mr </w:t>
      </w:r>
      <w:r w:rsidR="00BD5A31" w:rsidRPr="00850658">
        <w:rPr>
          <w:b/>
          <w:bCs/>
        </w:rPr>
        <w:t>Jovan Jovanović</w:t>
      </w:r>
    </w:p>
    <w:p w14:paraId="650A1D20" w14:textId="77777777" w:rsidR="002948A6" w:rsidRPr="00850658" w:rsidRDefault="002948A6" w:rsidP="002948A6">
      <w:pPr>
        <w:pStyle w:val="ListParagraph"/>
        <w:autoSpaceDE w:val="0"/>
        <w:ind w:left="360"/>
        <w:jc w:val="both"/>
      </w:pPr>
    </w:p>
    <w:p w14:paraId="500C4B29" w14:textId="1E06F31D" w:rsidR="00144AF1" w:rsidRPr="00850658" w:rsidRDefault="00144AF1" w:rsidP="00144AF1">
      <w:pPr>
        <w:numPr>
          <w:ilvl w:val="0"/>
          <w:numId w:val="2"/>
        </w:numPr>
        <w:jc w:val="both"/>
        <w:rPr>
          <w:bCs/>
        </w:rPr>
      </w:pPr>
      <w:r w:rsidRPr="00850658">
        <w:t xml:space="preserve">The complainant is the </w:t>
      </w:r>
      <w:r w:rsidR="00BE43D0" w:rsidRPr="00850658">
        <w:t>son of Mr</w:t>
      </w:r>
      <w:r w:rsidR="00BD5A31" w:rsidRPr="00850658">
        <w:t xml:space="preserve"> Jovan Jovanović</w:t>
      </w:r>
      <w:r w:rsidRPr="00850658">
        <w:t>.</w:t>
      </w:r>
    </w:p>
    <w:p w14:paraId="02AC4B60" w14:textId="77777777" w:rsidR="00144AF1" w:rsidRPr="00850658" w:rsidRDefault="00144AF1" w:rsidP="00144AF1">
      <w:pPr>
        <w:ind w:left="360"/>
        <w:jc w:val="both"/>
      </w:pPr>
    </w:p>
    <w:p w14:paraId="26D44F6F" w14:textId="033503DC" w:rsidR="00BD5A31" w:rsidRPr="00850658" w:rsidRDefault="00BD5A31" w:rsidP="00BD5A31">
      <w:pPr>
        <w:numPr>
          <w:ilvl w:val="0"/>
          <w:numId w:val="2"/>
        </w:numPr>
        <w:jc w:val="both"/>
      </w:pPr>
      <w:bookmarkStart w:id="12" w:name="_Ref389154703"/>
      <w:r w:rsidRPr="00850658">
        <w:t xml:space="preserve">The complainant states that Mr Jovan Jovanović was abducted from his house in Leshan/Lešane village, </w:t>
      </w:r>
      <w:r w:rsidRPr="00850658">
        <w:rPr>
          <w:bCs/>
        </w:rPr>
        <w:t>Suharekë/Suva Reka municipality,</w:t>
      </w:r>
      <w:r w:rsidRPr="00850658">
        <w:t xml:space="preserve"> </w:t>
      </w:r>
      <w:r w:rsidR="00FE4EBC" w:rsidRPr="00850658">
        <w:t xml:space="preserve">Prizren region, </w:t>
      </w:r>
      <w:r w:rsidRPr="00850658">
        <w:t xml:space="preserve">by members of the </w:t>
      </w:r>
      <w:r w:rsidR="00EE3C5B" w:rsidRPr="00850658">
        <w:t xml:space="preserve">KLA </w:t>
      </w:r>
      <w:r w:rsidRPr="00850658">
        <w:t xml:space="preserve">on some date between 11 and 13 June 1999. Since </w:t>
      </w:r>
      <w:r w:rsidR="00C93205" w:rsidRPr="00850658">
        <w:t>that time</w:t>
      </w:r>
      <w:r w:rsidRPr="00850658">
        <w:t xml:space="preserve"> his whereabouts have remained unknown. </w:t>
      </w:r>
    </w:p>
    <w:p w14:paraId="39F81996" w14:textId="77777777" w:rsidR="00BD5A31" w:rsidRPr="00850658" w:rsidRDefault="00BD5A31" w:rsidP="00BD5A31">
      <w:pPr>
        <w:jc w:val="both"/>
      </w:pPr>
    </w:p>
    <w:p w14:paraId="7DFA6C2D" w14:textId="77777777" w:rsidR="00BD5A31" w:rsidRPr="00850658" w:rsidRDefault="00BD5A31" w:rsidP="00BD5A31">
      <w:pPr>
        <w:numPr>
          <w:ilvl w:val="0"/>
          <w:numId w:val="2"/>
        </w:numPr>
        <w:jc w:val="both"/>
      </w:pPr>
      <w:r w:rsidRPr="00850658">
        <w:t xml:space="preserve">The complainant states that the disappearance was reported to the </w:t>
      </w:r>
      <w:r w:rsidR="00FE4EBC" w:rsidRPr="00850658">
        <w:t>ICRC</w:t>
      </w:r>
      <w:r w:rsidRPr="00850658">
        <w:t>, the Yugoslav Red Cross and UNMIK.</w:t>
      </w:r>
    </w:p>
    <w:p w14:paraId="0B14EEA4" w14:textId="77777777" w:rsidR="00BD5A31" w:rsidRPr="00850658" w:rsidRDefault="00BD5A31" w:rsidP="00BD5A31">
      <w:pPr>
        <w:ind w:left="360"/>
        <w:jc w:val="both"/>
      </w:pPr>
    </w:p>
    <w:p w14:paraId="3D13B975" w14:textId="0287701D" w:rsidR="00BD5A31" w:rsidRPr="00850658" w:rsidRDefault="00BD5A31" w:rsidP="00BD5A31">
      <w:pPr>
        <w:numPr>
          <w:ilvl w:val="0"/>
          <w:numId w:val="2"/>
        </w:numPr>
        <w:jc w:val="both"/>
      </w:pPr>
      <w:bookmarkStart w:id="13" w:name="_Ref413747594"/>
      <w:bookmarkStart w:id="14" w:name="_Ref413869946"/>
      <w:r w:rsidRPr="00850658">
        <w:t>On 30 July 1999, the ICRC opened a tracing request for Mr Jovan Jovanović</w:t>
      </w:r>
      <w:r w:rsidR="000A7BA0" w:rsidRPr="00850658">
        <w:t>, which remains open</w:t>
      </w:r>
      <w:r w:rsidR="00E750A3" w:rsidRPr="00850658">
        <w:t>.</w:t>
      </w:r>
      <w:r w:rsidRPr="00850658">
        <w:rPr>
          <w:rStyle w:val="FootnoteReference"/>
        </w:rPr>
        <w:footnoteReference w:id="3"/>
      </w:r>
      <w:r w:rsidRPr="00850658">
        <w:t xml:space="preserve"> Likewise,</w:t>
      </w:r>
      <w:r w:rsidR="00FE4EBC" w:rsidRPr="00850658">
        <w:t xml:space="preserve"> his name is in t</w:t>
      </w:r>
      <w:r w:rsidR="00FE4EBC" w:rsidRPr="00850658">
        <w:rPr>
          <w:bCs/>
        </w:rPr>
        <w:t>he list of missing persons for whom the ICRC had collected ante-mortem data in Serbia proper, between 1 July and 20 September 2001, which was forwarded by the ICRC to UNMIK on 12 October 2001</w:t>
      </w:r>
      <w:r w:rsidR="00052C53" w:rsidRPr="00850658">
        <w:t xml:space="preserve"> and is also part of </w:t>
      </w:r>
      <w:r w:rsidR="00FE4EBC" w:rsidRPr="00850658">
        <w:t>the UNMIK WCIU file</w:t>
      </w:r>
      <w:r w:rsidR="00E70BAD" w:rsidRPr="00850658">
        <w:t>. His name is also in</w:t>
      </w:r>
      <w:r w:rsidR="00FE4EBC" w:rsidRPr="00850658">
        <w:t xml:space="preserve"> the database compiled by the UNMIK OMPF</w:t>
      </w:r>
      <w:r w:rsidR="00FE4EBC" w:rsidRPr="00850658">
        <w:rPr>
          <w:rStyle w:val="FootnoteReference"/>
          <w:bCs/>
        </w:rPr>
        <w:footnoteReference w:id="4"/>
      </w:r>
      <w:r w:rsidR="00FE4EBC" w:rsidRPr="00850658">
        <w:rPr>
          <w:bCs/>
        </w:rPr>
        <w:t>.</w:t>
      </w:r>
      <w:bookmarkEnd w:id="13"/>
      <w:r w:rsidRPr="00850658">
        <w:t xml:space="preserve"> </w:t>
      </w:r>
      <w:r w:rsidR="003E72FE" w:rsidRPr="00850658">
        <w:rPr>
          <w:bCs/>
        </w:rPr>
        <w:t xml:space="preserve">The entry in </w:t>
      </w:r>
      <w:r w:rsidR="003E72FE" w:rsidRPr="00850658">
        <w:rPr>
          <w:bCs/>
        </w:rPr>
        <w:lastRenderedPageBreak/>
        <w:t xml:space="preserve">relation to him in the </w:t>
      </w:r>
      <w:r w:rsidR="003E72FE" w:rsidRPr="00850658">
        <w:t>online database maintained by the ICMP</w:t>
      </w:r>
      <w:r w:rsidR="003E72FE" w:rsidRPr="00850658">
        <w:rPr>
          <w:vertAlign w:val="superscript"/>
        </w:rPr>
        <w:footnoteReference w:id="5"/>
      </w:r>
      <w:r w:rsidR="003E72FE" w:rsidRPr="00850658">
        <w:t xml:space="preserve"> gives “06-11-1999” as the reported date of disappearance and reads in other relevant fields: “Sufficient Reference Samples Collected” and “DNA match not found”.</w:t>
      </w:r>
      <w:bookmarkEnd w:id="14"/>
    </w:p>
    <w:p w14:paraId="38BE99F7" w14:textId="77777777" w:rsidR="00A62C6D" w:rsidRPr="00850658" w:rsidRDefault="00A62C6D" w:rsidP="00A62C6D">
      <w:pPr>
        <w:jc w:val="both"/>
      </w:pPr>
    </w:p>
    <w:bookmarkEnd w:id="12"/>
    <w:p w14:paraId="2919E76B" w14:textId="77777777" w:rsidR="00D64ACA" w:rsidRPr="00850658" w:rsidRDefault="00D64ACA" w:rsidP="00D64ACA">
      <w:pPr>
        <w:jc w:val="both"/>
      </w:pPr>
      <w:r w:rsidRPr="00850658">
        <w:rPr>
          <w:b/>
        </w:rPr>
        <w:t>C. The investigation</w:t>
      </w:r>
    </w:p>
    <w:p w14:paraId="61CFCE75" w14:textId="77777777" w:rsidR="00D142E8" w:rsidRPr="00850658" w:rsidRDefault="00D142E8" w:rsidP="00D142E8">
      <w:pPr>
        <w:jc w:val="both"/>
        <w:rPr>
          <w:i/>
        </w:rPr>
      </w:pPr>
    </w:p>
    <w:p w14:paraId="7C304F7E" w14:textId="77777777" w:rsidR="00031471" w:rsidRPr="00850658" w:rsidRDefault="00031471" w:rsidP="00031471">
      <w:pPr>
        <w:pStyle w:val="ListParagraph"/>
        <w:numPr>
          <w:ilvl w:val="0"/>
          <w:numId w:val="9"/>
        </w:numPr>
        <w:ind w:left="360"/>
        <w:jc w:val="both"/>
        <w:rPr>
          <w:i/>
        </w:rPr>
      </w:pPr>
      <w:bookmarkStart w:id="15" w:name="_Ref347322102"/>
      <w:r w:rsidRPr="00850658">
        <w:rPr>
          <w:i/>
        </w:rPr>
        <w:t>Disclosure of relevant files</w:t>
      </w:r>
    </w:p>
    <w:p w14:paraId="646691AD" w14:textId="77777777" w:rsidR="00031471" w:rsidRPr="00850658" w:rsidRDefault="00031471" w:rsidP="00031471">
      <w:pPr>
        <w:pStyle w:val="ListParagraph"/>
        <w:jc w:val="both"/>
        <w:rPr>
          <w:i/>
        </w:rPr>
      </w:pPr>
    </w:p>
    <w:p w14:paraId="4DEF9242" w14:textId="5B905CF6" w:rsidR="00031471" w:rsidRPr="00850658" w:rsidRDefault="00031471" w:rsidP="00031471">
      <w:pPr>
        <w:widowControl w:val="0"/>
        <w:numPr>
          <w:ilvl w:val="0"/>
          <w:numId w:val="2"/>
        </w:numPr>
        <w:tabs>
          <w:tab w:val="left" w:pos="1080"/>
        </w:tabs>
        <w:suppressAutoHyphens/>
        <w:jc w:val="both"/>
      </w:pPr>
      <w:r w:rsidRPr="00850658">
        <w:t xml:space="preserve">In the present case, the Panel received from UNMIK copies of the investigative documents previously held by the OMPF and UNMIK Police. </w:t>
      </w:r>
      <w:r w:rsidR="009E6957" w:rsidRPr="00850658">
        <w:t xml:space="preserve">On 17 December 2012, the Panel received some documents in </w:t>
      </w:r>
      <w:r w:rsidR="000A7BA0" w:rsidRPr="00850658">
        <w:t>relation to the investigation into</w:t>
      </w:r>
      <w:r w:rsidR="009E6957" w:rsidRPr="00850658">
        <w:t xml:space="preserve"> the abduction and disappearance of Mr Jovan Jovanović, which were returned from the UN Headquarters’ archives (see § </w:t>
      </w:r>
      <w:r w:rsidR="009E6957" w:rsidRPr="00850658">
        <w:fldChar w:fldCharType="begin"/>
      </w:r>
      <w:r w:rsidR="009E6957" w:rsidRPr="00850658">
        <w:instrText xml:space="preserve"> REF _Ref411934181 \r \h  \* MERGEFORMAT </w:instrText>
      </w:r>
      <w:r w:rsidR="009E6957" w:rsidRPr="00850658">
        <w:fldChar w:fldCharType="separate"/>
      </w:r>
      <w:r w:rsidR="004504C3">
        <w:t>7</w:t>
      </w:r>
      <w:r w:rsidR="009E6957" w:rsidRPr="00850658">
        <w:fldChar w:fldCharType="end"/>
      </w:r>
      <w:r w:rsidR="009E6957" w:rsidRPr="00850658">
        <w:t xml:space="preserve"> above). </w:t>
      </w:r>
      <w:r w:rsidRPr="00850658">
        <w:t xml:space="preserve">When presenting the file to the Panel, on 11 February 2013, the SRSG stated that more information in relation to this case, not contained in the presented documents, may exist. Nevertheless, on </w:t>
      </w:r>
      <w:r w:rsidR="00EE3C5B" w:rsidRPr="00850658">
        <w:t>17</w:t>
      </w:r>
      <w:r w:rsidRPr="00850658">
        <w:t xml:space="preserve"> March 2015, UNMIK confirmed to the Panel that no more relevant documents have been obtained.</w:t>
      </w:r>
    </w:p>
    <w:p w14:paraId="7ACAC3D7" w14:textId="77777777" w:rsidR="00031471" w:rsidRPr="00850658" w:rsidRDefault="00031471" w:rsidP="00031471">
      <w:pPr>
        <w:pStyle w:val="ListParagraph"/>
        <w:suppressAutoHyphens w:val="0"/>
        <w:ind w:left="360"/>
        <w:contextualSpacing/>
        <w:jc w:val="both"/>
      </w:pPr>
    </w:p>
    <w:p w14:paraId="2C700320" w14:textId="77777777" w:rsidR="00EE3C5B" w:rsidRPr="00850658" w:rsidRDefault="00031471" w:rsidP="00EE3C5B">
      <w:pPr>
        <w:widowControl w:val="0"/>
        <w:numPr>
          <w:ilvl w:val="0"/>
          <w:numId w:val="2"/>
        </w:numPr>
        <w:tabs>
          <w:tab w:val="left" w:pos="1080"/>
        </w:tabs>
        <w:suppressAutoHyphens/>
        <w:jc w:val="both"/>
      </w:pPr>
      <w:r w:rsidRPr="00850658">
        <w:t>Concerning disclosure of information contained in the files, the Panel recalls that UNMIK has made them available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to follow.</w:t>
      </w:r>
      <w:bookmarkStart w:id="16" w:name="_Ref395005257"/>
      <w:bookmarkEnd w:id="15"/>
    </w:p>
    <w:p w14:paraId="5D9467ED" w14:textId="77777777" w:rsidR="00EE3C5B" w:rsidRPr="00850658" w:rsidRDefault="00EE3C5B" w:rsidP="00EE3C5B">
      <w:pPr>
        <w:pStyle w:val="ListParagraph"/>
        <w:rPr>
          <w:i/>
        </w:rPr>
      </w:pPr>
    </w:p>
    <w:p w14:paraId="76B7AFCE" w14:textId="4EBADD37" w:rsidR="00B807FD" w:rsidRPr="00850658" w:rsidRDefault="00EE3C5B" w:rsidP="00EE3C5B">
      <w:pPr>
        <w:widowControl w:val="0"/>
        <w:tabs>
          <w:tab w:val="left" w:pos="1080"/>
        </w:tabs>
        <w:suppressAutoHyphens/>
        <w:jc w:val="both"/>
      </w:pPr>
      <w:r w:rsidRPr="00850658">
        <w:rPr>
          <w:i/>
        </w:rPr>
        <w:t xml:space="preserve">b) </w:t>
      </w:r>
      <w:r w:rsidR="00031471" w:rsidRPr="00850658">
        <w:rPr>
          <w:i/>
        </w:rPr>
        <w:t>The OMPF File</w:t>
      </w:r>
    </w:p>
    <w:p w14:paraId="7FE05AA8" w14:textId="77777777" w:rsidR="00B807FD" w:rsidRPr="00850658" w:rsidRDefault="00B807FD" w:rsidP="00B807FD">
      <w:pPr>
        <w:pStyle w:val="ListParagraph"/>
      </w:pPr>
    </w:p>
    <w:p w14:paraId="5D02E3BA" w14:textId="153C9853" w:rsidR="009E6957" w:rsidRPr="00850658" w:rsidRDefault="009E6957" w:rsidP="009E6957">
      <w:pPr>
        <w:pStyle w:val="ListParagraph"/>
        <w:numPr>
          <w:ilvl w:val="0"/>
          <w:numId w:val="2"/>
        </w:numPr>
        <w:suppressAutoHyphens w:val="0"/>
        <w:contextualSpacing/>
        <w:jc w:val="both"/>
      </w:pPr>
      <w:bookmarkStart w:id="17" w:name="_Ref401316977"/>
      <w:bookmarkStart w:id="18" w:name="_Ref412544318"/>
      <w:r w:rsidRPr="00850658">
        <w:t xml:space="preserve">The OMPF part of the investigative file </w:t>
      </w:r>
      <w:r w:rsidR="00FE4EBC" w:rsidRPr="00850658">
        <w:t>contains</w:t>
      </w:r>
      <w:r w:rsidRPr="00850658">
        <w:t xml:space="preserve"> </w:t>
      </w:r>
      <w:r w:rsidR="006B0F7C" w:rsidRPr="00850658">
        <w:t>two</w:t>
      </w:r>
      <w:r w:rsidR="00C93205" w:rsidRPr="00850658">
        <w:t xml:space="preserve"> undated</w:t>
      </w:r>
      <w:r w:rsidR="006B0F7C" w:rsidRPr="00850658">
        <w:t xml:space="preserve"> </w:t>
      </w:r>
      <w:r w:rsidRPr="00850658">
        <w:t>Victim Identification Form</w:t>
      </w:r>
      <w:r w:rsidR="006B0F7C" w:rsidRPr="00850658">
        <w:t>s</w:t>
      </w:r>
      <w:r w:rsidRPr="00850658">
        <w:t xml:space="preserve"> for Mr Jovan Jovanović</w:t>
      </w:r>
      <w:r w:rsidR="00FE4EBC" w:rsidRPr="00850658">
        <w:t xml:space="preserve"> </w:t>
      </w:r>
      <w:r w:rsidR="00EE3C5B" w:rsidRPr="00850658">
        <w:t>completed</w:t>
      </w:r>
      <w:r w:rsidR="00FE4EBC" w:rsidRPr="00850658">
        <w:t xml:space="preserve"> by the ICRC in Serbia proper (see § </w:t>
      </w:r>
      <w:r w:rsidR="00FE4EBC" w:rsidRPr="00850658">
        <w:fldChar w:fldCharType="begin"/>
      </w:r>
      <w:r w:rsidR="00FE4EBC" w:rsidRPr="00850658">
        <w:instrText xml:space="preserve"> REF _Ref413869946 \r \h </w:instrText>
      </w:r>
      <w:r w:rsidR="00850658" w:rsidRPr="00850658">
        <w:instrText xml:space="preserve"> \* MERGEFORMAT </w:instrText>
      </w:r>
      <w:r w:rsidR="00FE4EBC" w:rsidRPr="00850658">
        <w:fldChar w:fldCharType="separate"/>
      </w:r>
      <w:r w:rsidR="004504C3">
        <w:t>25</w:t>
      </w:r>
      <w:r w:rsidR="00FE4EBC" w:rsidRPr="00850658">
        <w:fldChar w:fldCharType="end"/>
      </w:r>
      <w:r w:rsidR="00FE4EBC" w:rsidRPr="00850658">
        <w:t xml:space="preserve"> above)</w:t>
      </w:r>
      <w:r w:rsidR="006B0F7C" w:rsidRPr="00850658">
        <w:t xml:space="preserve">, one in Serbian and one in English, </w:t>
      </w:r>
      <w:r w:rsidR="00C93205" w:rsidRPr="00850658">
        <w:t xml:space="preserve">affixed </w:t>
      </w:r>
      <w:r w:rsidR="006B0F7C" w:rsidRPr="00850658">
        <w:t>with MPU file no. 2003-000097</w:t>
      </w:r>
      <w:r w:rsidRPr="00850658">
        <w:t xml:space="preserve">. Besides his personal details and ante-mortem description, it provides the name and </w:t>
      </w:r>
      <w:r w:rsidR="00EE3C5B" w:rsidRPr="00850658">
        <w:t xml:space="preserve">full </w:t>
      </w:r>
      <w:r w:rsidRPr="00850658">
        <w:t xml:space="preserve">contact details of his sister and his wife. One of the fields on the </w:t>
      </w:r>
      <w:r w:rsidR="006B0F7C" w:rsidRPr="00850658">
        <w:t xml:space="preserve">second </w:t>
      </w:r>
      <w:r w:rsidRPr="00850658">
        <w:t>page reads that: “</w:t>
      </w:r>
      <w:r w:rsidR="006572B0" w:rsidRPr="00850658">
        <w:t xml:space="preserve">MP </w:t>
      </w:r>
      <w:r w:rsidR="00EE3C5B" w:rsidRPr="00850658">
        <w:t xml:space="preserve">[Missing Person] </w:t>
      </w:r>
      <w:r w:rsidR="006572B0" w:rsidRPr="00850658">
        <w:t>was the only Serb who had remained in th</w:t>
      </w:r>
      <w:r w:rsidR="0096018A" w:rsidRPr="00850658">
        <w:t>e village of Lesane, Suva Reka</w:t>
      </w:r>
      <w:r w:rsidR="006B0F7C" w:rsidRPr="00850658">
        <w:t xml:space="preserve"> </w:t>
      </w:r>
      <w:proofErr w:type="gramStart"/>
      <w:r w:rsidR="006B0F7C" w:rsidRPr="00850658">
        <w:t>municipality,</w:t>
      </w:r>
      <w:proofErr w:type="gramEnd"/>
      <w:r w:rsidR="006B0F7C" w:rsidRPr="00850658">
        <w:t xml:space="preserve"> he was last seen by his daughter on June 12, 1999</w:t>
      </w:r>
      <w:r w:rsidRPr="00850658">
        <w:t>.</w:t>
      </w:r>
      <w:bookmarkEnd w:id="17"/>
      <w:r w:rsidR="006B0F7C" w:rsidRPr="00850658">
        <w:t>”</w:t>
      </w:r>
    </w:p>
    <w:p w14:paraId="52E74AC9" w14:textId="77777777" w:rsidR="006B0F7C" w:rsidRPr="00850658" w:rsidRDefault="006B0F7C" w:rsidP="006B0F7C">
      <w:pPr>
        <w:pStyle w:val="ListParagraph"/>
        <w:suppressAutoHyphens w:val="0"/>
        <w:ind w:left="360"/>
        <w:contextualSpacing/>
        <w:jc w:val="both"/>
      </w:pPr>
    </w:p>
    <w:p w14:paraId="0E2CD04C" w14:textId="7BDC6C58" w:rsidR="006B0F7C" w:rsidRPr="00850658" w:rsidRDefault="00EE3C5B" w:rsidP="00EE3C5B">
      <w:pPr>
        <w:contextualSpacing/>
        <w:jc w:val="both"/>
      </w:pPr>
      <w:r w:rsidRPr="00850658">
        <w:t xml:space="preserve">c) </w:t>
      </w:r>
      <w:r w:rsidR="006B0F7C" w:rsidRPr="00850658">
        <w:t xml:space="preserve">The </w:t>
      </w:r>
      <w:r w:rsidR="006B0F7C" w:rsidRPr="00850658">
        <w:rPr>
          <w:i/>
        </w:rPr>
        <w:t>WCIU investigative Files</w:t>
      </w:r>
    </w:p>
    <w:p w14:paraId="683FADD4" w14:textId="77777777" w:rsidR="006B0F7C" w:rsidRPr="00850658" w:rsidRDefault="006B0F7C" w:rsidP="006B0F7C">
      <w:pPr>
        <w:ind w:left="360"/>
        <w:contextualSpacing/>
        <w:jc w:val="both"/>
      </w:pPr>
    </w:p>
    <w:p w14:paraId="6DFC7D06" w14:textId="5DEDB8CE" w:rsidR="00D32314" w:rsidRPr="00850658" w:rsidRDefault="00FE4EBC" w:rsidP="00D32314">
      <w:pPr>
        <w:widowControl w:val="0"/>
        <w:numPr>
          <w:ilvl w:val="0"/>
          <w:numId w:val="2"/>
        </w:numPr>
        <w:tabs>
          <w:tab w:val="left" w:pos="360"/>
          <w:tab w:val="num" w:pos="630"/>
          <w:tab w:val="left" w:pos="1080"/>
        </w:tabs>
        <w:suppressAutoHyphens/>
        <w:jc w:val="both"/>
      </w:pPr>
      <w:bookmarkStart w:id="19" w:name="_Ref414608826"/>
      <w:bookmarkStart w:id="20" w:name="_Ref411952966"/>
      <w:bookmarkStart w:id="21" w:name="_Ref411933208"/>
      <w:bookmarkStart w:id="22" w:name="_Ref404677730"/>
      <w:bookmarkEnd w:id="18"/>
      <w:r w:rsidRPr="00850658">
        <w:t xml:space="preserve">This part of the </w:t>
      </w:r>
      <w:r w:rsidR="00D32314" w:rsidRPr="00850658">
        <w:t>file</w:t>
      </w:r>
      <w:r w:rsidR="00561138" w:rsidRPr="00850658">
        <w:t xml:space="preserve"> contains three pages of a four-</w:t>
      </w:r>
      <w:r w:rsidR="00D32314" w:rsidRPr="00850658">
        <w:t>page statement</w:t>
      </w:r>
      <w:r w:rsidR="00561138" w:rsidRPr="00850658">
        <w:t xml:space="preserve"> of H.S.</w:t>
      </w:r>
      <w:r w:rsidR="00D32314" w:rsidRPr="00850658">
        <w:t xml:space="preserve">, </w:t>
      </w:r>
      <w:r w:rsidR="00561138" w:rsidRPr="00850658">
        <w:t>recorded</w:t>
      </w:r>
      <w:r w:rsidR="00B064ED" w:rsidRPr="00850658">
        <w:t xml:space="preserve"> by UNMIK Police on 11 May 2002, in relation to his abduction and</w:t>
      </w:r>
      <w:r w:rsidR="005A1CB2" w:rsidRPr="00850658">
        <w:t xml:space="preserve"> subsequent</w:t>
      </w:r>
      <w:r w:rsidR="00D32314" w:rsidRPr="00850658">
        <w:t xml:space="preserve"> detention</w:t>
      </w:r>
      <w:r w:rsidR="00B064ED" w:rsidRPr="00850658">
        <w:t>. He stated that</w:t>
      </w:r>
      <w:r w:rsidR="00D32314" w:rsidRPr="00850658">
        <w:t xml:space="preserve"> </w:t>
      </w:r>
      <w:r w:rsidR="00B25B5A" w:rsidRPr="00850658">
        <w:t xml:space="preserve">while he was </w:t>
      </w:r>
      <w:r w:rsidR="005A1CB2" w:rsidRPr="00850658">
        <w:t>held in detention</w:t>
      </w:r>
      <w:r w:rsidR="00561138" w:rsidRPr="00850658">
        <w:t xml:space="preserve"> in Nishor/Nisor</w:t>
      </w:r>
      <w:r w:rsidR="00B25B5A" w:rsidRPr="00850658">
        <w:t xml:space="preserve"> village</w:t>
      </w:r>
      <w:r w:rsidR="00561138" w:rsidRPr="00850658">
        <w:t xml:space="preserve">, he was placed in </w:t>
      </w:r>
      <w:r w:rsidR="00B064ED" w:rsidRPr="00850658">
        <w:t>a room with Mr Jovan Jovanović</w:t>
      </w:r>
      <w:r w:rsidR="005A1CB2" w:rsidRPr="00850658">
        <w:t xml:space="preserve"> and </w:t>
      </w:r>
      <w:r w:rsidR="00B064ED" w:rsidRPr="00850658">
        <w:t>they were both assaulted.</w:t>
      </w:r>
      <w:r w:rsidR="005A1CB2" w:rsidRPr="00850658">
        <w:t xml:space="preserve"> </w:t>
      </w:r>
      <w:r w:rsidR="00D32314" w:rsidRPr="00850658">
        <w:t>The statement provide</w:t>
      </w:r>
      <w:r w:rsidR="00B25B5A" w:rsidRPr="00850658">
        <w:t>s</w:t>
      </w:r>
      <w:r w:rsidR="00D32314" w:rsidRPr="00850658">
        <w:t xml:space="preserve"> detail</w:t>
      </w:r>
      <w:r w:rsidR="00561138" w:rsidRPr="00850658">
        <w:t>s</w:t>
      </w:r>
      <w:r w:rsidR="00D32314" w:rsidRPr="00850658">
        <w:t xml:space="preserve"> of his and Mr Jovan Jovanovi</w:t>
      </w:r>
      <w:r w:rsidR="00B064ED" w:rsidRPr="00850658">
        <w:t>ć’s captivity, including</w:t>
      </w:r>
      <w:r w:rsidR="00D32314" w:rsidRPr="00850658">
        <w:t xml:space="preserve"> details of the assaults against both of them. </w:t>
      </w:r>
      <w:r w:rsidR="00B25B5A" w:rsidRPr="00850658">
        <w:t>H.S.’s statement also provides n</w:t>
      </w:r>
      <w:r w:rsidR="00D32314" w:rsidRPr="00850658">
        <w:t xml:space="preserve">ames of </w:t>
      </w:r>
      <w:r w:rsidR="00561138" w:rsidRPr="00850658">
        <w:t xml:space="preserve">the </w:t>
      </w:r>
      <w:r w:rsidR="00D32314" w:rsidRPr="00850658">
        <w:t xml:space="preserve">KLA members involved, as well as details </w:t>
      </w:r>
      <w:r w:rsidR="00B064ED" w:rsidRPr="00850658">
        <w:t>of other persons that were</w:t>
      </w:r>
      <w:r w:rsidR="00D32314" w:rsidRPr="00850658">
        <w:t xml:space="preserve"> </w:t>
      </w:r>
      <w:r w:rsidR="00B064ED" w:rsidRPr="00850658">
        <w:t>detained</w:t>
      </w:r>
      <w:r w:rsidR="00D32314" w:rsidRPr="00850658">
        <w:t xml:space="preserve"> and beaten.</w:t>
      </w:r>
      <w:bookmarkEnd w:id="19"/>
      <w:r w:rsidR="00D32314" w:rsidRPr="00850658">
        <w:t xml:space="preserve"> </w:t>
      </w:r>
    </w:p>
    <w:p w14:paraId="0A553550" w14:textId="77777777" w:rsidR="00D32314" w:rsidRPr="00850658" w:rsidRDefault="00D32314" w:rsidP="00D32314">
      <w:pPr>
        <w:pStyle w:val="ListParagraph"/>
      </w:pPr>
    </w:p>
    <w:p w14:paraId="01EAE15C" w14:textId="429AE30C" w:rsidR="001C4D63" w:rsidRPr="00850658" w:rsidRDefault="001C4D63" w:rsidP="009A25A3">
      <w:pPr>
        <w:widowControl w:val="0"/>
        <w:numPr>
          <w:ilvl w:val="0"/>
          <w:numId w:val="2"/>
        </w:numPr>
        <w:tabs>
          <w:tab w:val="left" w:pos="360"/>
          <w:tab w:val="num" w:pos="630"/>
          <w:tab w:val="left" w:pos="1080"/>
        </w:tabs>
        <w:suppressAutoHyphens/>
        <w:jc w:val="both"/>
      </w:pPr>
      <w:bookmarkStart w:id="23" w:name="_Ref414608829"/>
      <w:r w:rsidRPr="00850658">
        <w:lastRenderedPageBreak/>
        <w:t xml:space="preserve">The </w:t>
      </w:r>
      <w:r w:rsidR="00D32314" w:rsidRPr="00850658">
        <w:t xml:space="preserve">next document </w:t>
      </w:r>
      <w:r w:rsidR="00B25B5A" w:rsidRPr="00850658">
        <w:t xml:space="preserve">in the file </w:t>
      </w:r>
      <w:r w:rsidR="00D32314" w:rsidRPr="00850658">
        <w:t xml:space="preserve">is </w:t>
      </w:r>
      <w:r w:rsidRPr="00850658">
        <w:t xml:space="preserve">an Investigation Summary, dated 30 May 2002, from the </w:t>
      </w:r>
      <w:r w:rsidR="002522FB" w:rsidRPr="00850658">
        <w:t xml:space="preserve">UNMIK </w:t>
      </w:r>
      <w:r w:rsidR="00561138" w:rsidRPr="00850658">
        <w:t>Regional Investigation Unit</w:t>
      </w:r>
      <w:r w:rsidR="00FD6AB3" w:rsidRPr="00850658">
        <w:t xml:space="preserve"> (RIU)</w:t>
      </w:r>
      <w:r w:rsidR="00561138" w:rsidRPr="00850658">
        <w:t xml:space="preserve"> </w:t>
      </w:r>
      <w:r w:rsidR="002522FB" w:rsidRPr="00850658">
        <w:t>of</w:t>
      </w:r>
      <w:r w:rsidR="00FF7074" w:rsidRPr="00850658">
        <w:t xml:space="preserve"> Prizren, </w:t>
      </w:r>
      <w:r w:rsidR="00B25B5A" w:rsidRPr="00850658">
        <w:t xml:space="preserve">affixed with </w:t>
      </w:r>
      <w:r w:rsidR="00BB474F" w:rsidRPr="00850658">
        <w:t xml:space="preserve">file </w:t>
      </w:r>
      <w:r w:rsidR="00561138" w:rsidRPr="00850658">
        <w:t>no. 2002-JI-63</w:t>
      </w:r>
      <w:r w:rsidR="005A1CB2" w:rsidRPr="00850658">
        <w:t>, concerning again, the detention of H.S. by the KLA.</w:t>
      </w:r>
      <w:r w:rsidRPr="00850658">
        <w:t xml:space="preserve"> </w:t>
      </w:r>
      <w:r w:rsidR="00FF7074" w:rsidRPr="00850658">
        <w:t xml:space="preserve">The </w:t>
      </w:r>
      <w:r w:rsidR="00B25B5A" w:rsidRPr="00850658">
        <w:t>document</w:t>
      </w:r>
      <w:r w:rsidR="005A1CB2" w:rsidRPr="00850658">
        <w:t xml:space="preserve"> summarises </w:t>
      </w:r>
      <w:r w:rsidR="00FF7074" w:rsidRPr="00850658">
        <w:t>the</w:t>
      </w:r>
      <w:r w:rsidR="005A1CB2" w:rsidRPr="00850658">
        <w:t xml:space="preserve"> statement by </w:t>
      </w:r>
      <w:r w:rsidR="00D32314" w:rsidRPr="00850658">
        <w:t>H.S.</w:t>
      </w:r>
      <w:r w:rsidR="005A1CB2" w:rsidRPr="00850658">
        <w:t xml:space="preserve"> concerning his abduction and subsequent detention</w:t>
      </w:r>
      <w:r w:rsidR="00D32314" w:rsidRPr="00850658">
        <w:t xml:space="preserve"> </w:t>
      </w:r>
      <w:r w:rsidR="00FF7074" w:rsidRPr="00850658">
        <w:t xml:space="preserve">by the KLA on 13 June 1999. </w:t>
      </w:r>
      <w:r w:rsidR="00DC3B83" w:rsidRPr="00850658">
        <w:t>It</w:t>
      </w:r>
      <w:r w:rsidR="00FF7074" w:rsidRPr="00850658">
        <w:t xml:space="preserve"> </w:t>
      </w:r>
      <w:r w:rsidR="00B25B5A" w:rsidRPr="00850658">
        <w:t xml:space="preserve">also provides the </w:t>
      </w:r>
      <w:r w:rsidR="00FF7074" w:rsidRPr="00850658">
        <w:t xml:space="preserve">names of </w:t>
      </w:r>
      <w:r w:rsidR="00DC3B83" w:rsidRPr="00850658">
        <w:t xml:space="preserve">five </w:t>
      </w:r>
      <w:r w:rsidR="00FD6AB3" w:rsidRPr="00850658">
        <w:t>KLA members</w:t>
      </w:r>
      <w:r w:rsidR="00BB474F" w:rsidRPr="00850658">
        <w:t>, including a KLA commander,</w:t>
      </w:r>
      <w:r w:rsidR="009A25A3" w:rsidRPr="00850658">
        <w:t xml:space="preserve"> who were involved in the crime</w:t>
      </w:r>
      <w:r w:rsidR="00BB474F" w:rsidRPr="00850658">
        <w:t>.</w:t>
      </w:r>
      <w:bookmarkEnd w:id="23"/>
      <w:r w:rsidR="009A25A3" w:rsidRPr="00850658">
        <w:t xml:space="preserve"> </w:t>
      </w:r>
    </w:p>
    <w:p w14:paraId="2AD428BE" w14:textId="77777777" w:rsidR="00561138" w:rsidRPr="00850658" w:rsidRDefault="00561138" w:rsidP="00561138">
      <w:pPr>
        <w:pStyle w:val="ListParagraph"/>
      </w:pPr>
    </w:p>
    <w:p w14:paraId="282BBBD9" w14:textId="294A40A2" w:rsidR="00AD7F08" w:rsidRPr="00850658" w:rsidRDefault="00FA0FE6" w:rsidP="00AB364B">
      <w:pPr>
        <w:widowControl w:val="0"/>
        <w:numPr>
          <w:ilvl w:val="0"/>
          <w:numId w:val="2"/>
        </w:numPr>
        <w:tabs>
          <w:tab w:val="left" w:pos="360"/>
          <w:tab w:val="num" w:pos="630"/>
          <w:tab w:val="left" w:pos="1080"/>
        </w:tabs>
        <w:suppressAutoHyphens/>
        <w:jc w:val="both"/>
      </w:pPr>
      <w:bookmarkStart w:id="24" w:name="_Ref413870303"/>
      <w:bookmarkStart w:id="25" w:name="_Ref414607951"/>
      <w:r w:rsidRPr="00850658">
        <w:t>The file contains an MPU</w:t>
      </w:r>
      <w:r w:rsidR="00622236" w:rsidRPr="00850658">
        <w:t xml:space="preserve"> Case Conti</w:t>
      </w:r>
      <w:r w:rsidR="00A62C6D" w:rsidRPr="00850658">
        <w:t>nuation Report</w:t>
      </w:r>
      <w:r w:rsidR="002948A6" w:rsidRPr="00850658">
        <w:t xml:space="preserve"> for </w:t>
      </w:r>
      <w:r w:rsidR="0087101E" w:rsidRPr="00850658">
        <w:t>Mr Jovan Jovanović</w:t>
      </w:r>
      <w:r w:rsidR="00393E7A" w:rsidRPr="00850658">
        <w:t>, affixed with the file no.</w:t>
      </w:r>
      <w:r w:rsidR="002948A6" w:rsidRPr="00850658">
        <w:t xml:space="preserve"> </w:t>
      </w:r>
      <w:r w:rsidR="0087101E" w:rsidRPr="00850658">
        <w:t>2003-000097</w:t>
      </w:r>
      <w:r w:rsidR="002948A6" w:rsidRPr="00850658">
        <w:t>. The</w:t>
      </w:r>
      <w:r w:rsidR="00FD6AB3" w:rsidRPr="00850658">
        <w:t xml:space="preserve"> r</w:t>
      </w:r>
      <w:r w:rsidR="00AD7F08" w:rsidRPr="00850658">
        <w:t xml:space="preserve">eport contains one input, </w:t>
      </w:r>
      <w:r w:rsidR="00867F40" w:rsidRPr="00850658">
        <w:t xml:space="preserve">dated </w:t>
      </w:r>
      <w:r w:rsidR="0087101E" w:rsidRPr="00850658">
        <w:t>13</w:t>
      </w:r>
      <w:r w:rsidR="00991DCC" w:rsidRPr="00850658">
        <w:t xml:space="preserve"> </w:t>
      </w:r>
      <w:r w:rsidR="00AD7F08" w:rsidRPr="00850658">
        <w:t xml:space="preserve">April </w:t>
      </w:r>
      <w:r w:rsidR="0087101E" w:rsidRPr="00850658">
        <w:t>2003</w:t>
      </w:r>
      <w:r w:rsidR="00991DCC" w:rsidRPr="00850658">
        <w:t>, which states “</w:t>
      </w:r>
      <w:r w:rsidR="0087101E" w:rsidRPr="00850658">
        <w:t>Input DB &amp; DVI</w:t>
      </w:r>
      <w:r w:rsidR="00AD7F08" w:rsidRPr="00850658">
        <w:t xml:space="preserve"> OK</w:t>
      </w:r>
      <w:r w:rsidR="00991DCC" w:rsidRPr="00850658">
        <w:t>”</w:t>
      </w:r>
      <w:bookmarkEnd w:id="20"/>
      <w:bookmarkEnd w:id="24"/>
      <w:r w:rsidR="00B064ED" w:rsidRPr="00850658">
        <w:t>.</w:t>
      </w:r>
      <w:bookmarkEnd w:id="25"/>
      <w:r w:rsidR="00991DCC" w:rsidRPr="00850658">
        <w:t xml:space="preserve"> </w:t>
      </w:r>
      <w:bookmarkEnd w:id="21"/>
    </w:p>
    <w:p w14:paraId="30D22E81" w14:textId="77777777" w:rsidR="008F290C" w:rsidRPr="00850658" w:rsidRDefault="008F290C" w:rsidP="008F290C">
      <w:pPr>
        <w:pStyle w:val="ListParagraph"/>
      </w:pPr>
    </w:p>
    <w:p w14:paraId="0A4EC6F6" w14:textId="53AF7A19" w:rsidR="008F290C" w:rsidRPr="00850658" w:rsidRDefault="00B25B5A" w:rsidP="008F290C">
      <w:pPr>
        <w:widowControl w:val="0"/>
        <w:numPr>
          <w:ilvl w:val="0"/>
          <w:numId w:val="2"/>
        </w:numPr>
        <w:tabs>
          <w:tab w:val="left" w:pos="1080"/>
        </w:tabs>
        <w:suppressAutoHyphens/>
        <w:jc w:val="both"/>
      </w:pPr>
      <w:bookmarkStart w:id="26" w:name="_Ref414607953"/>
      <w:r w:rsidRPr="00850658">
        <w:t xml:space="preserve">The file contains </w:t>
      </w:r>
      <w:r w:rsidR="008F290C" w:rsidRPr="00850658">
        <w:t xml:space="preserve">a printout </w:t>
      </w:r>
      <w:r w:rsidR="00FD6AB3" w:rsidRPr="00850658">
        <w:t>from</w:t>
      </w:r>
      <w:r w:rsidR="008F290C" w:rsidRPr="00850658">
        <w:t xml:space="preserve"> an MPU </w:t>
      </w:r>
      <w:r w:rsidR="00FD6AB3" w:rsidRPr="00850658">
        <w:t xml:space="preserve">database </w:t>
      </w:r>
      <w:r w:rsidRPr="00850658">
        <w:t>affixed with the</w:t>
      </w:r>
      <w:r w:rsidR="00FD6AB3" w:rsidRPr="00850658">
        <w:t xml:space="preserve"> case </w:t>
      </w:r>
      <w:r w:rsidR="008F290C" w:rsidRPr="00850658">
        <w:t xml:space="preserve">no. 2003-000097, containing the basic biographical details of Mr Jovan Jovanović as well as details of his disappearance. The field titled “Date_inputed” </w:t>
      </w:r>
      <w:r w:rsidR="00561138" w:rsidRPr="00850658">
        <w:t xml:space="preserve">states </w:t>
      </w:r>
      <w:r w:rsidR="008F290C" w:rsidRPr="00850658">
        <w:t>13 April 2003.</w:t>
      </w:r>
      <w:bookmarkEnd w:id="26"/>
    </w:p>
    <w:p w14:paraId="0B337269" w14:textId="77777777" w:rsidR="00AD7F08" w:rsidRPr="00850658" w:rsidRDefault="00AD7F08" w:rsidP="00AD7F08"/>
    <w:p w14:paraId="51D37429" w14:textId="3C906982" w:rsidR="00A80682" w:rsidRPr="00850658" w:rsidRDefault="00AD7F08" w:rsidP="00AD7F08">
      <w:pPr>
        <w:widowControl w:val="0"/>
        <w:numPr>
          <w:ilvl w:val="0"/>
          <w:numId w:val="2"/>
        </w:numPr>
        <w:tabs>
          <w:tab w:val="left" w:pos="1080"/>
        </w:tabs>
        <w:suppressAutoHyphens/>
        <w:jc w:val="both"/>
      </w:pPr>
      <w:bookmarkStart w:id="27" w:name="_Ref413846763"/>
      <w:bookmarkStart w:id="28" w:name="_Ref409012839"/>
      <w:bookmarkStart w:id="29" w:name="_Ref412015112"/>
      <w:r w:rsidRPr="00850658">
        <w:t xml:space="preserve">The investigative file </w:t>
      </w:r>
      <w:r w:rsidR="007D0DD0" w:rsidRPr="00850658">
        <w:t xml:space="preserve">further </w:t>
      </w:r>
      <w:r w:rsidR="00561138" w:rsidRPr="00850658">
        <w:t xml:space="preserve">contains a WCIU </w:t>
      </w:r>
      <w:r w:rsidRPr="00850658">
        <w:t>A</w:t>
      </w:r>
      <w:r w:rsidR="00561138" w:rsidRPr="00850658">
        <w:t>nte Mortem Investigation Report</w:t>
      </w:r>
      <w:r w:rsidRPr="00850658">
        <w:t xml:space="preserve">, </w:t>
      </w:r>
      <w:r w:rsidR="00561138" w:rsidRPr="00850658">
        <w:t xml:space="preserve">initiated on 22 December 2004 and completed on </w:t>
      </w:r>
      <w:r w:rsidR="00DF0DAE" w:rsidRPr="00850658">
        <w:t>26 January 2005</w:t>
      </w:r>
      <w:r w:rsidRPr="00850658">
        <w:t xml:space="preserve">, affixed with the file no. </w:t>
      </w:r>
      <w:r w:rsidR="00DF0DAE" w:rsidRPr="00850658">
        <w:t>1151/INV/04</w:t>
      </w:r>
      <w:r w:rsidRPr="00850658">
        <w:t xml:space="preserve">. Under the heading labelled </w:t>
      </w:r>
      <w:r w:rsidR="00146524" w:rsidRPr="00850658">
        <w:t>“</w:t>
      </w:r>
      <w:r w:rsidRPr="00850658">
        <w:t>Witness”</w:t>
      </w:r>
      <w:r w:rsidR="00B33743" w:rsidRPr="00850658">
        <w:t>,</w:t>
      </w:r>
      <w:r w:rsidR="00F945BC" w:rsidRPr="00850658">
        <w:t xml:space="preserve"> the r</w:t>
      </w:r>
      <w:r w:rsidR="00DF0DAE" w:rsidRPr="00850658">
        <w:t>eport states the name and contact details of the sister of Mr Jovan Jovanović</w:t>
      </w:r>
      <w:r w:rsidRPr="00850658">
        <w:t>. Under the heading labelled “Suspects”</w:t>
      </w:r>
      <w:r w:rsidR="00B33743" w:rsidRPr="00850658">
        <w:t>,</w:t>
      </w:r>
      <w:r w:rsidR="00F945BC" w:rsidRPr="00850658">
        <w:t xml:space="preserve"> the r</w:t>
      </w:r>
      <w:r w:rsidRPr="00850658">
        <w:t>eport states “</w:t>
      </w:r>
      <w:r w:rsidR="00DF0DAE" w:rsidRPr="00850658">
        <w:t>NIL</w:t>
      </w:r>
      <w:r w:rsidRPr="00850658">
        <w:t>”.</w:t>
      </w:r>
      <w:bookmarkEnd w:id="27"/>
      <w:r w:rsidRPr="00850658">
        <w:t xml:space="preserve"> Under the heading labelled “Summary of Information Received to In</w:t>
      </w:r>
      <w:r w:rsidR="00B25B5A" w:rsidRPr="00850658">
        <w:t>itiate the Investigation”, the R</w:t>
      </w:r>
      <w:r w:rsidRPr="00850658">
        <w:t>eport states “</w:t>
      </w:r>
      <w:bookmarkEnd w:id="22"/>
      <w:bookmarkEnd w:id="28"/>
      <w:r w:rsidR="00DF0DAE" w:rsidRPr="00850658">
        <w:t>MP [missing person] was the only Serb who had remained in Lesane village, Suva Reka Municipality. His daughter saw him last time on 12/06/1999 there. Since this time Jovan Jovanovic is a missing person. This case was reported to ICRC Belgrade under number BLG-803206-01 and MPU file was open on 13/04/1999.</w:t>
      </w:r>
      <w:r w:rsidRPr="00850658">
        <w:t>”</w:t>
      </w:r>
      <w:bookmarkEnd w:id="29"/>
      <w:r w:rsidR="00DF0DAE" w:rsidRPr="00850658">
        <w:t xml:space="preserve"> </w:t>
      </w:r>
    </w:p>
    <w:p w14:paraId="381C1DF0" w14:textId="77777777" w:rsidR="00A80682" w:rsidRPr="00850658" w:rsidRDefault="00A80682" w:rsidP="00A80682">
      <w:pPr>
        <w:pStyle w:val="ListParagraph"/>
      </w:pPr>
    </w:p>
    <w:p w14:paraId="07BCBC4C" w14:textId="4728899F" w:rsidR="00A62C6D" w:rsidRPr="00850658" w:rsidRDefault="00DF0DAE" w:rsidP="00F945BC">
      <w:pPr>
        <w:widowControl w:val="0"/>
        <w:numPr>
          <w:ilvl w:val="0"/>
          <w:numId w:val="2"/>
        </w:numPr>
        <w:tabs>
          <w:tab w:val="left" w:pos="1080"/>
        </w:tabs>
        <w:suppressAutoHyphens/>
        <w:jc w:val="both"/>
      </w:pPr>
      <w:bookmarkStart w:id="30" w:name="_Ref413921080"/>
      <w:bookmarkStart w:id="31" w:name="_Ref414545550"/>
      <w:r w:rsidRPr="00850658">
        <w:t xml:space="preserve">Under the </w:t>
      </w:r>
      <w:r w:rsidR="00B25B5A" w:rsidRPr="00850658">
        <w:t xml:space="preserve">heading labelled </w:t>
      </w:r>
      <w:r w:rsidRPr="00850658">
        <w:t>“Further Investigation”</w:t>
      </w:r>
      <w:r w:rsidR="00B25B5A" w:rsidRPr="00850658">
        <w:t>,</w:t>
      </w:r>
      <w:r w:rsidRPr="00850658">
        <w:t xml:space="preserve"> the </w:t>
      </w:r>
      <w:r w:rsidR="00B25B5A" w:rsidRPr="00850658">
        <w:t>R</w:t>
      </w:r>
      <w:r w:rsidR="003E15D7" w:rsidRPr="00850658">
        <w:t>eport states “We tried to contact with a sister of MP, who lives in SCG, in order to receive any updated information. But there were no answers from above-mentioned phone. We couldn’t collect any relative available information from available databases and Internet resource.”</w:t>
      </w:r>
      <w:bookmarkEnd w:id="30"/>
      <w:r w:rsidR="003E15D7" w:rsidRPr="00850658">
        <w:t xml:space="preserve"> </w:t>
      </w:r>
      <w:r w:rsidR="00A80682" w:rsidRPr="00850658">
        <w:t xml:space="preserve">The </w:t>
      </w:r>
      <w:r w:rsidR="00B25B5A" w:rsidRPr="00850658">
        <w:t xml:space="preserve">heading </w:t>
      </w:r>
      <w:r w:rsidR="00A80682" w:rsidRPr="00850658">
        <w:t xml:space="preserve">labelled “Witness Interviewed” states “None”. </w:t>
      </w:r>
      <w:r w:rsidR="00B25B5A" w:rsidRPr="00850658">
        <w:t>The conclusion of the R</w:t>
      </w:r>
      <w:r w:rsidR="003E15D7" w:rsidRPr="00850658">
        <w:t>eport states “There is no information leading to a possible MP’s location. This case should remain open inactive within the WCU.”</w:t>
      </w:r>
      <w:bookmarkEnd w:id="31"/>
      <w:r w:rsidR="003E15D7" w:rsidRPr="00850658">
        <w:t xml:space="preserve"> </w:t>
      </w:r>
    </w:p>
    <w:p w14:paraId="6E907690" w14:textId="77777777" w:rsidR="00A80682" w:rsidRPr="00850658" w:rsidRDefault="00A80682" w:rsidP="00A80682">
      <w:pPr>
        <w:pStyle w:val="ListParagraph"/>
      </w:pPr>
    </w:p>
    <w:p w14:paraId="3721730A" w14:textId="6C42ADEF" w:rsidR="00A80682" w:rsidRPr="00850658" w:rsidRDefault="00A80682" w:rsidP="00A80682">
      <w:pPr>
        <w:widowControl w:val="0"/>
        <w:numPr>
          <w:ilvl w:val="0"/>
          <w:numId w:val="2"/>
        </w:numPr>
        <w:tabs>
          <w:tab w:val="left" w:pos="1080"/>
        </w:tabs>
        <w:suppressAutoHyphens/>
        <w:jc w:val="both"/>
      </w:pPr>
      <w:bookmarkStart w:id="32" w:name="_Ref413923769"/>
      <w:r w:rsidRPr="00850658">
        <w:t>The file also contains a</w:t>
      </w:r>
      <w:r w:rsidR="00F945BC" w:rsidRPr="00850658">
        <w:t>nother</w:t>
      </w:r>
      <w:r w:rsidRPr="00850658">
        <w:t xml:space="preserve"> printout from the MPU database, dated 27 January 2005, cross referenced to the cases nos</w:t>
      </w:r>
      <w:r w:rsidR="00A5310D" w:rsidRPr="00850658">
        <w:t>.</w:t>
      </w:r>
      <w:r w:rsidRPr="00850658">
        <w:t xml:space="preserve"> 1151/INV/04 and 2003-000097, which provides brief details on Mr Jovan Jovanović’s case. Its field labelled “Request Summary” states “no new information could be collected”, while the field </w:t>
      </w:r>
      <w:r w:rsidR="00B25B5A" w:rsidRPr="00850658">
        <w:t xml:space="preserve">labelled </w:t>
      </w:r>
      <w:r w:rsidRPr="00850658">
        <w:t>“Results” states “Pending”.</w:t>
      </w:r>
      <w:bookmarkEnd w:id="32"/>
    </w:p>
    <w:p w14:paraId="194722DF" w14:textId="77777777" w:rsidR="00C6361A" w:rsidRPr="00850658" w:rsidRDefault="00C6361A" w:rsidP="00C6361A">
      <w:pPr>
        <w:pStyle w:val="ListParagraph"/>
      </w:pPr>
    </w:p>
    <w:p w14:paraId="3F346C74" w14:textId="058CBB32" w:rsidR="00AD7F08" w:rsidRPr="00850658" w:rsidRDefault="00561138" w:rsidP="00AD7F08">
      <w:pPr>
        <w:widowControl w:val="0"/>
        <w:numPr>
          <w:ilvl w:val="0"/>
          <w:numId w:val="2"/>
        </w:numPr>
        <w:tabs>
          <w:tab w:val="left" w:pos="1080"/>
        </w:tabs>
        <w:suppressAutoHyphens/>
        <w:jc w:val="both"/>
      </w:pPr>
      <w:bookmarkStart w:id="33" w:name="_Ref411952415"/>
      <w:r w:rsidRPr="00850658">
        <w:t>The file also contains a one-</w:t>
      </w:r>
      <w:r w:rsidR="00AD7F08" w:rsidRPr="00850658">
        <w:t>pa</w:t>
      </w:r>
      <w:r w:rsidRPr="00850658">
        <w:t>ge print</w:t>
      </w:r>
      <w:r w:rsidR="00AD7F08" w:rsidRPr="00850658">
        <w:t xml:space="preserve">out from the WCIU database </w:t>
      </w:r>
      <w:r w:rsidR="00B25B5A" w:rsidRPr="00850658">
        <w:t xml:space="preserve">titled </w:t>
      </w:r>
      <w:r w:rsidR="00AD7F08" w:rsidRPr="00850658">
        <w:t>“Investigation Details for Investigative Number: 0139/INV/06” dated 2 July 2007. The print-out states “[t]here is a lack of information in the case” and “Investigators couldn’t get in touch with any of MP’s relatives. No one from village knows the MP or his son. This case should be kept Pending.”</w:t>
      </w:r>
      <w:bookmarkEnd w:id="33"/>
    </w:p>
    <w:p w14:paraId="1049BD09" w14:textId="77777777" w:rsidR="005A1CB2" w:rsidRPr="00850658" w:rsidRDefault="005A1CB2" w:rsidP="005A1CB2">
      <w:pPr>
        <w:pStyle w:val="ListParagraph"/>
      </w:pPr>
    </w:p>
    <w:p w14:paraId="1F7FB33D" w14:textId="1D673E0A" w:rsidR="00E9722F" w:rsidRPr="00850658" w:rsidRDefault="005A1CB2" w:rsidP="00E9722F">
      <w:pPr>
        <w:widowControl w:val="0"/>
        <w:numPr>
          <w:ilvl w:val="0"/>
          <w:numId w:val="2"/>
        </w:numPr>
        <w:tabs>
          <w:tab w:val="left" w:pos="1080"/>
        </w:tabs>
        <w:suppressAutoHyphens/>
        <w:jc w:val="both"/>
      </w:pPr>
      <w:bookmarkStart w:id="34" w:name="_Ref413933384"/>
      <w:r w:rsidRPr="00850658">
        <w:t xml:space="preserve">The file contains an undated copy, in English, of the complainant’s criminal report to the International Prosecutor of the District Public Prosecutor’s Office (DPPO) in Prizren requesting an investigation into the kidnapping of his father, Mr Jovan Jovanović. The </w:t>
      </w:r>
      <w:r w:rsidRPr="00850658">
        <w:lastRenderedPageBreak/>
        <w:t>document also states that that the disappearance of Mr Jovan Jovanović was reported to KFOR. The document is marked with CCIU case no. 2005-00184.</w:t>
      </w:r>
      <w:bookmarkEnd w:id="34"/>
      <w:r w:rsidRPr="00850658">
        <w:t xml:space="preserve"> </w:t>
      </w:r>
    </w:p>
    <w:p w14:paraId="1CC3C699" w14:textId="77777777" w:rsidR="005A1CB2" w:rsidRPr="00850658" w:rsidRDefault="005A1CB2" w:rsidP="005A1CB2">
      <w:pPr>
        <w:widowControl w:val="0"/>
        <w:tabs>
          <w:tab w:val="left" w:pos="1080"/>
        </w:tabs>
        <w:suppressAutoHyphens/>
        <w:jc w:val="both"/>
      </w:pPr>
    </w:p>
    <w:p w14:paraId="3A94670B" w14:textId="5E30F1D3" w:rsidR="00E9722F" w:rsidRPr="00850658" w:rsidRDefault="00B25B5A" w:rsidP="00E9722F">
      <w:pPr>
        <w:widowControl w:val="0"/>
        <w:numPr>
          <w:ilvl w:val="0"/>
          <w:numId w:val="2"/>
        </w:numPr>
        <w:tabs>
          <w:tab w:val="left" w:pos="1080"/>
        </w:tabs>
        <w:suppressAutoHyphens/>
        <w:jc w:val="both"/>
      </w:pPr>
      <w:r w:rsidRPr="00850658">
        <w:t xml:space="preserve">The file contains </w:t>
      </w:r>
      <w:r w:rsidR="00E9722F" w:rsidRPr="00850658">
        <w:t>a WCIU Case Re</w:t>
      </w:r>
      <w:r w:rsidR="005A1CB2" w:rsidRPr="00850658">
        <w:t>port, generated from the database on</w:t>
      </w:r>
      <w:r w:rsidR="00E9722F" w:rsidRPr="00850658">
        <w:t xml:space="preserve"> 8 October 2007</w:t>
      </w:r>
      <w:r w:rsidR="000B4234" w:rsidRPr="00850658">
        <w:t>,</w:t>
      </w:r>
      <w:r w:rsidR="00E9722F" w:rsidRPr="00850658">
        <w:t xml:space="preserve"> in relation to the case no. 2005-00184. </w:t>
      </w:r>
      <w:r w:rsidR="006B3488" w:rsidRPr="00850658">
        <w:t xml:space="preserve">The Report provides a brief description of </w:t>
      </w:r>
      <w:r w:rsidR="00E9722F" w:rsidRPr="00850658">
        <w:t>the abduction of Mr Jovan Jovanović. The complainant is listed as the reporting party.</w:t>
      </w:r>
      <w:r w:rsidR="000B4234" w:rsidRPr="00850658">
        <w:t xml:space="preserve"> There is a field on the form indicating “date updated” on</w:t>
      </w:r>
      <w:r w:rsidR="005A1CB2" w:rsidRPr="00850658">
        <w:t xml:space="preserve"> 7 September 2005.</w:t>
      </w:r>
    </w:p>
    <w:p w14:paraId="1B9C8902" w14:textId="77777777" w:rsidR="00A60611" w:rsidRPr="00850658" w:rsidRDefault="00A60611" w:rsidP="00A60611">
      <w:pPr>
        <w:pStyle w:val="ListParagraph"/>
      </w:pPr>
    </w:p>
    <w:p w14:paraId="5F40CBDF" w14:textId="4733A396" w:rsidR="00C6361A" w:rsidRPr="00850658" w:rsidRDefault="00C6361A" w:rsidP="00C6361A">
      <w:pPr>
        <w:pStyle w:val="ListParagraph"/>
        <w:numPr>
          <w:ilvl w:val="0"/>
          <w:numId w:val="2"/>
        </w:numPr>
        <w:suppressAutoHyphens w:val="0"/>
        <w:contextualSpacing/>
        <w:jc w:val="both"/>
      </w:pPr>
      <w:bookmarkStart w:id="35" w:name="_Ref400531993"/>
      <w:bookmarkStart w:id="36" w:name="_Ref401303826"/>
      <w:r w:rsidRPr="00850658">
        <w:t xml:space="preserve">The last document in the investigative file is an UNMIK Police WCIU Case Analysis Report, dated 8 October 2007, </w:t>
      </w:r>
      <w:r w:rsidR="006B3488" w:rsidRPr="00850658">
        <w:t>affixed with</w:t>
      </w:r>
      <w:r w:rsidRPr="00850658">
        <w:t xml:space="preserve"> case no. 2005-00184</w:t>
      </w:r>
      <w:r w:rsidR="0045100B" w:rsidRPr="00850658">
        <w:t>. The field “Current Status” is</w:t>
      </w:r>
      <w:r w:rsidRPr="00850658">
        <w:t xml:space="preserve"> blank, “Type of Crime” – “abduction”; the fields “Number of Known Witnesses”, “Number of Witness Statements” and “Number of Known  Suspects read “0”</w:t>
      </w:r>
      <w:bookmarkEnd w:id="35"/>
      <w:r w:rsidRPr="00850658">
        <w:t xml:space="preserve">. The field “Summary of the Crime” </w:t>
      </w:r>
      <w:r w:rsidR="006B3488" w:rsidRPr="00850658">
        <w:t xml:space="preserve">provides a brief description of </w:t>
      </w:r>
      <w:r w:rsidRPr="00850658">
        <w:t xml:space="preserve">the abduction of Mr Jovan Jovanović, while the field “Brief Description of Evidence” is blank. </w:t>
      </w:r>
      <w:r w:rsidR="006B3488" w:rsidRPr="00850658">
        <w:t>Under the heading labelled “</w:t>
      </w:r>
      <w:r w:rsidRPr="00850658">
        <w:t>recommendation</w:t>
      </w:r>
      <w:r w:rsidR="006B3488" w:rsidRPr="00850658">
        <w:t>”</w:t>
      </w:r>
      <w:r w:rsidRPr="00850658">
        <w:t xml:space="preserve"> </w:t>
      </w:r>
      <w:r w:rsidR="006B3488" w:rsidRPr="00850658">
        <w:t>the Report states</w:t>
      </w:r>
      <w:r w:rsidRPr="00850658">
        <w:t>: “There are no witnesses or suspects mentioned in the report material. I recommend this case to be CLOSED as there is no realistic likelihood of identifying any suspects.”</w:t>
      </w:r>
      <w:bookmarkEnd w:id="36"/>
    </w:p>
    <w:p w14:paraId="53DA020D" w14:textId="77777777" w:rsidR="00AD7F08" w:rsidRPr="00850658" w:rsidRDefault="00AD7F08" w:rsidP="00AD7F08">
      <w:pPr>
        <w:widowControl w:val="0"/>
        <w:tabs>
          <w:tab w:val="left" w:pos="1080"/>
        </w:tabs>
        <w:suppressAutoHyphens/>
        <w:jc w:val="both"/>
      </w:pPr>
    </w:p>
    <w:p w14:paraId="6D8D96F8" w14:textId="45EECF94" w:rsidR="00031471" w:rsidRPr="00850658" w:rsidRDefault="00031471" w:rsidP="00031471">
      <w:pPr>
        <w:jc w:val="both"/>
        <w:rPr>
          <w:i/>
        </w:rPr>
      </w:pPr>
      <w:r w:rsidRPr="00850658">
        <w:rPr>
          <w:i/>
        </w:rPr>
        <w:t xml:space="preserve">Documents from </w:t>
      </w:r>
      <w:r w:rsidR="00DC3B83" w:rsidRPr="00850658">
        <w:rPr>
          <w:i/>
        </w:rPr>
        <w:t xml:space="preserve">UN </w:t>
      </w:r>
      <w:r w:rsidRPr="00850658">
        <w:rPr>
          <w:i/>
        </w:rPr>
        <w:t>Archives</w:t>
      </w:r>
    </w:p>
    <w:p w14:paraId="6BE597A9" w14:textId="77777777" w:rsidR="00031471" w:rsidRPr="00850658" w:rsidRDefault="00031471" w:rsidP="00031471">
      <w:pPr>
        <w:pStyle w:val="ListParagraph"/>
      </w:pPr>
    </w:p>
    <w:p w14:paraId="61F81A11" w14:textId="79CEC8F1" w:rsidR="00031471" w:rsidRPr="00850658" w:rsidRDefault="00031471" w:rsidP="00993625">
      <w:pPr>
        <w:pStyle w:val="ListParagraph"/>
        <w:numPr>
          <w:ilvl w:val="0"/>
          <w:numId w:val="2"/>
        </w:numPr>
        <w:jc w:val="both"/>
      </w:pPr>
      <w:r w:rsidRPr="00850658">
        <w:t xml:space="preserve">The documents obtained from UN archives in New York include one folder </w:t>
      </w:r>
      <w:r w:rsidR="006B3488" w:rsidRPr="00850658">
        <w:t>affixed w</w:t>
      </w:r>
      <w:r w:rsidR="00FA7BC8" w:rsidRPr="00850658">
        <w:t>i</w:t>
      </w:r>
      <w:r w:rsidR="006B3488" w:rsidRPr="00850658">
        <w:t>th the MPU case no.</w:t>
      </w:r>
      <w:r w:rsidRPr="00850658">
        <w:t xml:space="preserve"> </w:t>
      </w:r>
      <w:r w:rsidR="00993625" w:rsidRPr="00850658">
        <w:t>2003-000097</w:t>
      </w:r>
      <w:r w:rsidR="0045100B" w:rsidRPr="00850658">
        <w:t>. It does not contain any additional documents than those provided by UNMIK.</w:t>
      </w:r>
    </w:p>
    <w:p w14:paraId="060CD8C5" w14:textId="77777777" w:rsidR="00031471" w:rsidRPr="00850658" w:rsidRDefault="00031471" w:rsidP="00AD7F08">
      <w:pPr>
        <w:widowControl w:val="0"/>
        <w:tabs>
          <w:tab w:val="left" w:pos="1080"/>
        </w:tabs>
        <w:suppressAutoHyphens/>
        <w:jc w:val="both"/>
      </w:pPr>
    </w:p>
    <w:bookmarkEnd w:id="16"/>
    <w:p w14:paraId="35E4A1D5" w14:textId="77777777" w:rsidR="00991DCC" w:rsidRPr="00850658" w:rsidRDefault="00991DCC" w:rsidP="007A5EE7">
      <w:pPr>
        <w:widowControl w:val="0"/>
        <w:tabs>
          <w:tab w:val="left" w:pos="360"/>
          <w:tab w:val="left" w:pos="1080"/>
        </w:tabs>
        <w:suppressAutoHyphens/>
        <w:contextualSpacing/>
        <w:jc w:val="both"/>
        <w:rPr>
          <w:lang w:eastAsia="en-GB"/>
        </w:rPr>
      </w:pPr>
    </w:p>
    <w:p w14:paraId="1F213EEC" w14:textId="77777777" w:rsidR="003E3F85" w:rsidRPr="00850658" w:rsidRDefault="003E3F85" w:rsidP="003E3F85">
      <w:pPr>
        <w:numPr>
          <w:ilvl w:val="0"/>
          <w:numId w:val="1"/>
        </w:numPr>
        <w:suppressAutoHyphens/>
        <w:autoSpaceDE w:val="0"/>
        <w:ind w:left="360" w:hanging="360"/>
        <w:jc w:val="both"/>
        <w:rPr>
          <w:b/>
          <w:bCs/>
        </w:rPr>
      </w:pPr>
      <w:r w:rsidRPr="00850658">
        <w:rPr>
          <w:b/>
          <w:bCs/>
        </w:rPr>
        <w:t>THE COMPLAINT</w:t>
      </w:r>
    </w:p>
    <w:p w14:paraId="5977B5B4" w14:textId="77777777" w:rsidR="003E3F85" w:rsidRPr="00850658" w:rsidRDefault="003E3F85" w:rsidP="007A5EE7">
      <w:pPr>
        <w:tabs>
          <w:tab w:val="left" w:pos="357"/>
        </w:tabs>
        <w:autoSpaceDE w:val="0"/>
        <w:jc w:val="both"/>
        <w:rPr>
          <w:b/>
          <w:bCs/>
        </w:rPr>
      </w:pPr>
    </w:p>
    <w:p w14:paraId="6082AFA7" w14:textId="0BA959FC" w:rsidR="00B67AFF" w:rsidRPr="00850658" w:rsidRDefault="00B67AFF" w:rsidP="00B67AFF">
      <w:pPr>
        <w:pStyle w:val="ListParagraph"/>
        <w:numPr>
          <w:ilvl w:val="0"/>
          <w:numId w:val="2"/>
        </w:numPr>
        <w:autoSpaceDE w:val="0"/>
        <w:jc w:val="both"/>
        <w:rPr>
          <w:b/>
          <w:bCs/>
        </w:rPr>
      </w:pPr>
      <w:r w:rsidRPr="00850658">
        <w:t>The complainant</w:t>
      </w:r>
      <w:r w:rsidRPr="00850658">
        <w:rPr>
          <w:bCs/>
          <w:caps/>
        </w:rPr>
        <w:t xml:space="preserve"> </w:t>
      </w:r>
      <w:r w:rsidRPr="00850658">
        <w:t xml:space="preserve">complains about UNMIK’s alleged failure to properly investigate the abduction </w:t>
      </w:r>
      <w:r w:rsidR="0045100B" w:rsidRPr="00850658">
        <w:t xml:space="preserve">and disappearance </w:t>
      </w:r>
      <w:r w:rsidRPr="00850658">
        <w:t>of his father, Mr Jovan Jovanović. In this regard, the Panel deems that the complainant invokes a violation of the procedural limb of Article 2 of the European Convention on Human Rights (ECHR).</w:t>
      </w:r>
    </w:p>
    <w:p w14:paraId="10997DC6" w14:textId="77777777" w:rsidR="00991DCC" w:rsidRPr="00850658" w:rsidRDefault="00991DCC" w:rsidP="00991DCC">
      <w:pPr>
        <w:pStyle w:val="ListParagraph"/>
        <w:autoSpaceDE w:val="0"/>
        <w:ind w:left="360"/>
        <w:jc w:val="both"/>
        <w:rPr>
          <w:b/>
          <w:bCs/>
        </w:rPr>
      </w:pPr>
    </w:p>
    <w:p w14:paraId="6B7AE22E" w14:textId="77777777" w:rsidR="00991DCC" w:rsidRPr="00850658" w:rsidRDefault="00991DCC" w:rsidP="00991DCC">
      <w:pPr>
        <w:pStyle w:val="Default"/>
        <w:numPr>
          <w:ilvl w:val="0"/>
          <w:numId w:val="2"/>
        </w:numPr>
        <w:jc w:val="both"/>
        <w:rPr>
          <w:color w:val="auto"/>
          <w:lang w:val="en-GB"/>
        </w:rPr>
      </w:pPr>
      <w:r w:rsidRPr="00850658">
        <w:rPr>
          <w:color w:val="auto"/>
          <w:lang w:val="en-GB"/>
        </w:rPr>
        <w:t xml:space="preserve">The complainant also complains about the </w:t>
      </w:r>
      <w:r w:rsidR="00B67AFF" w:rsidRPr="00850658">
        <w:rPr>
          <w:color w:val="auto"/>
          <w:lang w:val="en-GB"/>
        </w:rPr>
        <w:t xml:space="preserve">fear, </w:t>
      </w:r>
      <w:r w:rsidRPr="00850658">
        <w:rPr>
          <w:color w:val="auto"/>
          <w:lang w:val="en-GB"/>
        </w:rPr>
        <w:t>mental pain and s</w:t>
      </w:r>
      <w:r w:rsidR="00B67AFF" w:rsidRPr="00850658">
        <w:rPr>
          <w:color w:val="auto"/>
          <w:lang w:val="en-GB"/>
        </w:rPr>
        <w:t>uffering allegedly caused to him</w:t>
      </w:r>
      <w:r w:rsidRPr="00850658">
        <w:rPr>
          <w:color w:val="auto"/>
          <w:lang w:val="en-GB"/>
        </w:rPr>
        <w:t xml:space="preserve"> by this situation. In this regard, the Panel deems that the complainant relies on Article 3 of the ECHR. </w:t>
      </w:r>
    </w:p>
    <w:p w14:paraId="6443E2F7" w14:textId="77777777" w:rsidR="003E3F85" w:rsidRPr="00850658" w:rsidRDefault="003E3F85" w:rsidP="003E3F85">
      <w:pPr>
        <w:autoSpaceDE w:val="0"/>
        <w:jc w:val="both"/>
        <w:rPr>
          <w:b/>
          <w:bCs/>
        </w:rPr>
      </w:pPr>
    </w:p>
    <w:p w14:paraId="1B66F912" w14:textId="77777777" w:rsidR="003E3F85" w:rsidRPr="00850658" w:rsidRDefault="003E3F85" w:rsidP="003E3F85">
      <w:pPr>
        <w:autoSpaceDE w:val="0"/>
        <w:jc w:val="both"/>
        <w:rPr>
          <w:b/>
          <w:bCs/>
        </w:rPr>
      </w:pPr>
    </w:p>
    <w:p w14:paraId="586DEB20" w14:textId="77777777" w:rsidR="003E3F85" w:rsidRPr="00850658" w:rsidRDefault="003E3F85" w:rsidP="003E3F85">
      <w:pPr>
        <w:numPr>
          <w:ilvl w:val="0"/>
          <w:numId w:val="1"/>
        </w:numPr>
        <w:suppressAutoHyphens/>
        <w:autoSpaceDE w:val="0"/>
        <w:ind w:left="360" w:hanging="360"/>
        <w:jc w:val="both"/>
        <w:rPr>
          <w:b/>
          <w:bCs/>
        </w:rPr>
      </w:pPr>
      <w:r w:rsidRPr="00850658">
        <w:rPr>
          <w:b/>
          <w:bCs/>
        </w:rPr>
        <w:t>THE LAW</w:t>
      </w:r>
    </w:p>
    <w:p w14:paraId="0BE1FE53" w14:textId="77777777" w:rsidR="003E3F85" w:rsidRPr="00850658" w:rsidRDefault="003E3F85" w:rsidP="003E3F85">
      <w:pPr>
        <w:suppressAutoHyphens/>
        <w:autoSpaceDE w:val="0"/>
        <w:jc w:val="both"/>
        <w:rPr>
          <w:bCs/>
        </w:rPr>
      </w:pPr>
    </w:p>
    <w:p w14:paraId="77E66581" w14:textId="77777777" w:rsidR="003E3F85" w:rsidRPr="00850658" w:rsidRDefault="003E3F85" w:rsidP="003E3F85">
      <w:pPr>
        <w:pStyle w:val="Default"/>
        <w:numPr>
          <w:ilvl w:val="0"/>
          <w:numId w:val="4"/>
        </w:numPr>
        <w:jc w:val="both"/>
        <w:rPr>
          <w:b/>
          <w:color w:val="auto"/>
          <w:lang w:val="en-GB"/>
        </w:rPr>
      </w:pPr>
      <w:r w:rsidRPr="00850658">
        <w:rPr>
          <w:b/>
          <w:color w:val="auto"/>
          <w:lang w:val="en-GB"/>
        </w:rPr>
        <w:t>Alleged violation of the procedural obligation under</w:t>
      </w:r>
      <w:r w:rsidRPr="00850658">
        <w:rPr>
          <w:b/>
          <w:i/>
          <w:color w:val="auto"/>
          <w:lang w:val="en-GB"/>
        </w:rPr>
        <w:t xml:space="preserve"> </w:t>
      </w:r>
      <w:r w:rsidRPr="00850658">
        <w:rPr>
          <w:b/>
          <w:color w:val="auto"/>
          <w:lang w:val="en-GB"/>
        </w:rPr>
        <w:t xml:space="preserve">Article 2 of the ECHR </w:t>
      </w:r>
    </w:p>
    <w:p w14:paraId="5CD0FE46" w14:textId="77777777" w:rsidR="003E3F85" w:rsidRPr="00850658" w:rsidRDefault="003E3F85" w:rsidP="003E3F85">
      <w:pPr>
        <w:tabs>
          <w:tab w:val="left" w:pos="630"/>
          <w:tab w:val="left" w:pos="2790"/>
        </w:tabs>
        <w:suppressAutoHyphens/>
        <w:autoSpaceDE w:val="0"/>
        <w:jc w:val="both"/>
        <w:rPr>
          <w:bCs/>
        </w:rPr>
      </w:pPr>
    </w:p>
    <w:p w14:paraId="58B7995F" w14:textId="77777777" w:rsidR="003E3F85" w:rsidRPr="00850658" w:rsidRDefault="003E3F85" w:rsidP="003E3F85">
      <w:pPr>
        <w:pStyle w:val="ListParagraph"/>
        <w:numPr>
          <w:ilvl w:val="1"/>
          <w:numId w:val="1"/>
        </w:numPr>
        <w:tabs>
          <w:tab w:val="clear" w:pos="360"/>
          <w:tab w:val="left" w:pos="357"/>
        </w:tabs>
        <w:autoSpaceDE w:val="0"/>
        <w:contextualSpacing/>
        <w:jc w:val="both"/>
        <w:rPr>
          <w:b/>
          <w:bCs/>
        </w:rPr>
      </w:pPr>
      <w:r w:rsidRPr="00850658">
        <w:rPr>
          <w:b/>
          <w:bCs/>
        </w:rPr>
        <w:t>The scope of the Panel’s review</w:t>
      </w:r>
    </w:p>
    <w:p w14:paraId="1683B877" w14:textId="77777777" w:rsidR="003E3F85" w:rsidRPr="00850658" w:rsidRDefault="003E3F85" w:rsidP="003E3F85">
      <w:pPr>
        <w:suppressAutoHyphens/>
        <w:autoSpaceDE w:val="0"/>
        <w:jc w:val="both"/>
        <w:rPr>
          <w:bCs/>
        </w:rPr>
      </w:pPr>
    </w:p>
    <w:p w14:paraId="564876BC" w14:textId="77777777" w:rsidR="003E3F85" w:rsidRPr="00850658" w:rsidRDefault="003E3F85" w:rsidP="003E3F85">
      <w:pPr>
        <w:pStyle w:val="ListParagraph"/>
        <w:numPr>
          <w:ilvl w:val="0"/>
          <w:numId w:val="2"/>
        </w:numPr>
        <w:autoSpaceDE w:val="0"/>
        <w:jc w:val="both"/>
        <w:rPr>
          <w:bCs/>
        </w:rPr>
      </w:pPr>
      <w:bookmarkStart w:id="37" w:name="_Ref409020267"/>
      <w:r w:rsidRPr="00850658">
        <w:rPr>
          <w:bCs/>
        </w:rPr>
        <w:t>Before turning to the examination of the merits of the complaint, the Panel needs to clarify the scope of its review.</w:t>
      </w:r>
      <w:bookmarkEnd w:id="37"/>
    </w:p>
    <w:p w14:paraId="34FFEB68" w14:textId="77777777" w:rsidR="003E3F85" w:rsidRPr="00850658" w:rsidRDefault="003E3F85" w:rsidP="003E3F85">
      <w:pPr>
        <w:autoSpaceDE w:val="0"/>
        <w:jc w:val="both"/>
        <w:rPr>
          <w:bCs/>
        </w:rPr>
      </w:pPr>
    </w:p>
    <w:p w14:paraId="58F6B7D7" w14:textId="77777777" w:rsidR="003E3F85" w:rsidRPr="00850658" w:rsidRDefault="003E3F85" w:rsidP="003E3F85">
      <w:pPr>
        <w:pStyle w:val="ListParagraph"/>
        <w:numPr>
          <w:ilvl w:val="0"/>
          <w:numId w:val="2"/>
        </w:numPr>
        <w:autoSpaceDE w:val="0"/>
        <w:jc w:val="both"/>
      </w:pPr>
      <w:bookmarkStart w:id="38" w:name="_Ref366160496"/>
      <w:r w:rsidRPr="00850658">
        <w:lastRenderedPageBreak/>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8"/>
      <w:r w:rsidRPr="00850658">
        <w:t xml:space="preserve"> </w:t>
      </w:r>
    </w:p>
    <w:p w14:paraId="0BF7A2C1" w14:textId="77777777" w:rsidR="003E3F85" w:rsidRPr="00850658" w:rsidRDefault="003E3F85" w:rsidP="003E3F85">
      <w:pPr>
        <w:tabs>
          <w:tab w:val="left" w:pos="360"/>
        </w:tabs>
        <w:autoSpaceDE w:val="0"/>
        <w:ind w:left="360" w:hanging="360"/>
        <w:jc w:val="both"/>
        <w:rPr>
          <w:bCs/>
        </w:rPr>
      </w:pPr>
    </w:p>
    <w:p w14:paraId="362B6BF4" w14:textId="77777777" w:rsidR="003E3F85" w:rsidRPr="00850658" w:rsidRDefault="003E3F85" w:rsidP="003E3F85">
      <w:pPr>
        <w:numPr>
          <w:ilvl w:val="0"/>
          <w:numId w:val="2"/>
        </w:numPr>
        <w:suppressAutoHyphens/>
        <w:autoSpaceDE w:val="0"/>
        <w:jc w:val="both"/>
      </w:pPr>
      <w:bookmarkStart w:id="39" w:name="_Ref347321462"/>
      <w:bookmarkStart w:id="40" w:name="_Ref317418022"/>
      <w:r w:rsidRPr="00850658">
        <w:rPr>
          <w:lang w:eastAsia="nl-BE"/>
        </w:rPr>
        <w:t xml:space="preserve">The </w:t>
      </w:r>
      <w:r w:rsidRPr="00850658">
        <w:rPr>
          <w:bCs/>
        </w:rPr>
        <w:t>Panel</w:t>
      </w:r>
      <w:r w:rsidRPr="00850658">
        <w:rPr>
          <w:lang w:eastAsia="nl-BE"/>
        </w:rPr>
        <w:t xml:space="preserve"> notes that with the adoption of the UNMIK Regulation No. 1999/1 on 25 July 1999 UNMIK undertook an obligation to observe internationally recognised human </w:t>
      </w:r>
      <w:r w:rsidRPr="00850658">
        <w:rPr>
          <w:bCs/>
        </w:rPr>
        <w:t>rights</w:t>
      </w:r>
      <w:r w:rsidRPr="00850658">
        <w:rPr>
          <w:lang w:eastAsia="nl-BE"/>
        </w:rPr>
        <w:t xml:space="preserve"> standards in exercising its functions. This undertaking was detailed  in UNMIK Regulation No. 1999/24 of 12 December 1999, by which UNMIK assumed obligations under the following human rights instruments</w:t>
      </w:r>
      <w:r w:rsidRPr="00850658">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850658">
          <w:rPr>
            <w:rStyle w:val="Hyperlink"/>
            <w:color w:val="auto"/>
            <w:u w:val="none"/>
          </w:rPr>
          <w:t>the Convention Against Torture and Other Cruel, Inhuman or Degrading Treatment or Punishment</w:t>
        </w:r>
      </w:hyperlink>
      <w:r w:rsidRPr="00850658">
        <w:t>, the Convention on the Rights of the Child.</w:t>
      </w:r>
      <w:bookmarkEnd w:id="39"/>
    </w:p>
    <w:p w14:paraId="3AD93F11" w14:textId="77777777" w:rsidR="003E3F85" w:rsidRPr="00850658" w:rsidRDefault="003E3F85" w:rsidP="003E3F85">
      <w:pPr>
        <w:tabs>
          <w:tab w:val="left" w:pos="360"/>
        </w:tabs>
        <w:suppressAutoHyphens/>
        <w:autoSpaceDE w:val="0"/>
        <w:ind w:left="360" w:hanging="360"/>
        <w:jc w:val="both"/>
      </w:pPr>
      <w:bookmarkStart w:id="41" w:name="_Ref317493050"/>
    </w:p>
    <w:p w14:paraId="3B553755" w14:textId="77777777" w:rsidR="003E3F85" w:rsidRPr="00850658" w:rsidRDefault="003E3F85" w:rsidP="003E3F85">
      <w:pPr>
        <w:numPr>
          <w:ilvl w:val="0"/>
          <w:numId w:val="2"/>
        </w:numPr>
        <w:suppressAutoHyphens/>
        <w:autoSpaceDE w:val="0"/>
        <w:jc w:val="both"/>
      </w:pPr>
      <w:bookmarkStart w:id="42" w:name="_Ref347495661"/>
      <w:r w:rsidRPr="00850658">
        <w:rPr>
          <w:rFonts w:cs="CAGLHH+TimesNewRoman"/>
        </w:rPr>
        <w:t xml:space="preserve">The Panel also notes that Section 1.2 of </w:t>
      </w:r>
      <w:r w:rsidRPr="00850658">
        <w:rPr>
          <w:bCs/>
        </w:rPr>
        <w:t xml:space="preserve">UNMIK Regulation No. 2006/12 of 23 March 2006 on the Establishment of the Human Rights Advisory Panel </w:t>
      </w:r>
      <w:r w:rsidRPr="00850658">
        <w:rPr>
          <w:rFonts w:cs="CAGLHH+TimesNewRoman"/>
        </w:rPr>
        <w:t xml:space="preserve">provides that the Panel “shall examine complaints from any person or group of individuals claiming to be the victim of a violation by UNMIK of (their) human rights”. It </w:t>
      </w:r>
      <w:r w:rsidRPr="00850658">
        <w:rPr>
          <w:bCs/>
        </w:rPr>
        <w:t>follows</w:t>
      </w:r>
      <w:r w:rsidRPr="00850658">
        <w:rPr>
          <w:rFonts w:cs="CAGLHH+TimesNewRoman"/>
        </w:rPr>
        <w:t xml:space="preserve"> that only acts or omissions attributable to UNMIK fall within the jurisdiction </w:t>
      </w:r>
      <w:r w:rsidRPr="00850658">
        <w:rPr>
          <w:rFonts w:cs="CAGLHH+TimesNewRoman"/>
          <w:i/>
        </w:rPr>
        <w:t>ratione personae</w:t>
      </w:r>
      <w:r w:rsidRPr="00850658">
        <w:rPr>
          <w:rFonts w:cs="CAGLHH+TimesNewRoman"/>
        </w:rPr>
        <w:t xml:space="preserve"> of the Panel. In this respect, it should be noted, as stated above, that as of </w:t>
      </w:r>
      <w:r w:rsidRPr="00850658">
        <w:t xml:space="preserve">9 December 2008, UNMIK </w:t>
      </w:r>
      <w:r w:rsidRPr="00850658">
        <w:rPr>
          <w:bCs/>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850658">
        <w:rPr>
          <w:bCs/>
          <w:i/>
        </w:rPr>
        <w:t>ratione personae</w:t>
      </w:r>
      <w:r w:rsidRPr="00850658">
        <w:rPr>
          <w:bCs/>
        </w:rPr>
        <w:t xml:space="preserve"> of the Panel.</w:t>
      </w:r>
      <w:bookmarkEnd w:id="41"/>
      <w:bookmarkEnd w:id="42"/>
    </w:p>
    <w:p w14:paraId="4F388EA5" w14:textId="77777777" w:rsidR="003E3F85" w:rsidRPr="00850658" w:rsidRDefault="003E3F85" w:rsidP="003E3F85">
      <w:pPr>
        <w:pStyle w:val="ListParagraph"/>
        <w:tabs>
          <w:tab w:val="left" w:pos="360"/>
        </w:tabs>
        <w:ind w:left="360" w:hanging="360"/>
      </w:pPr>
    </w:p>
    <w:p w14:paraId="47C536D1" w14:textId="3681DC9C" w:rsidR="003E3F85" w:rsidRPr="00850658" w:rsidRDefault="003E3F85" w:rsidP="003E3F85">
      <w:pPr>
        <w:numPr>
          <w:ilvl w:val="0"/>
          <w:numId w:val="2"/>
        </w:numPr>
        <w:suppressAutoHyphens/>
        <w:autoSpaceDE w:val="0"/>
        <w:jc w:val="both"/>
        <w:rPr>
          <w:bCs/>
        </w:rPr>
      </w:pPr>
      <w:bookmarkStart w:id="43" w:name="_Ref409020276"/>
      <w:r w:rsidRPr="00850658">
        <w:rPr>
          <w:rFonts w:cs="CAGLHH+TimesNewRoman"/>
        </w:rPr>
        <w:t xml:space="preserve">Likewise, the Panel emphasises that, as far as its jurisdiction </w:t>
      </w:r>
      <w:r w:rsidRPr="00850658">
        <w:rPr>
          <w:rFonts w:cs="CAGLHH+TimesNewRoman"/>
          <w:i/>
        </w:rPr>
        <w:t>ratione materiae</w:t>
      </w:r>
      <w:r w:rsidRPr="00850658">
        <w:rPr>
          <w:rFonts w:cs="CAGLHH+TimesNewRoman"/>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850658">
        <w:fldChar w:fldCharType="begin"/>
      </w:r>
      <w:r w:rsidRPr="00850658">
        <w:instrText xml:space="preserve"> REF _Ref347321462 \r \h  \* MERGEFORMAT </w:instrText>
      </w:r>
      <w:r w:rsidRPr="00850658">
        <w:fldChar w:fldCharType="separate"/>
      </w:r>
      <w:r w:rsidR="004504C3" w:rsidRPr="004504C3">
        <w:rPr>
          <w:rFonts w:cs="CAGLHH+TimesNewRoman"/>
        </w:rPr>
        <w:t>45</w:t>
      </w:r>
      <w:r w:rsidRPr="00850658">
        <w:fldChar w:fldCharType="end"/>
      </w:r>
      <w:r w:rsidR="00006A7B" w:rsidRPr="00850658">
        <w:t xml:space="preserve"> above</w:t>
      </w:r>
      <w:r w:rsidRPr="00850658">
        <w:rPr>
          <w:rFonts w:cs="CAGLHH+TimesNewRoman"/>
        </w:rPr>
        <w:t>).</w:t>
      </w:r>
      <w:r w:rsidRPr="00850658">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43"/>
    </w:p>
    <w:p w14:paraId="73D4D8D3" w14:textId="77777777" w:rsidR="003E3F85" w:rsidRPr="00850658" w:rsidRDefault="003E3F85" w:rsidP="003E3F85">
      <w:pPr>
        <w:pStyle w:val="ListParagraph"/>
        <w:tabs>
          <w:tab w:val="left" w:pos="360"/>
        </w:tabs>
        <w:ind w:left="360" w:hanging="360"/>
        <w:rPr>
          <w:bCs/>
        </w:rPr>
      </w:pPr>
    </w:p>
    <w:p w14:paraId="478EFBE1" w14:textId="77777777" w:rsidR="003E3F85" w:rsidRPr="00850658" w:rsidRDefault="003E3F85" w:rsidP="003E3F85">
      <w:pPr>
        <w:numPr>
          <w:ilvl w:val="0"/>
          <w:numId w:val="2"/>
        </w:numPr>
        <w:tabs>
          <w:tab w:val="left" w:pos="630"/>
          <w:tab w:val="left" w:pos="2790"/>
        </w:tabs>
        <w:suppressAutoHyphens/>
        <w:autoSpaceDE w:val="0"/>
        <w:jc w:val="both"/>
        <w:rPr>
          <w:bCs/>
        </w:rPr>
      </w:pPr>
      <w:bookmarkStart w:id="44" w:name="_Ref346123885"/>
      <w:r w:rsidRPr="00850658">
        <w:rPr>
          <w:bCs/>
        </w:rPr>
        <w:t>The Panel further notes that Section 2 of UNMIK Regulation No. 2006/12 provides that t</w:t>
      </w:r>
      <w:r w:rsidRPr="00850658">
        <w:rPr>
          <w:rFonts w:cs="CAGLHH+TimesNewRoman"/>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850658">
        <w:rPr>
          <w:rFonts w:cs="CAGLHH+TimesNewRoman"/>
          <w:i/>
        </w:rPr>
        <w:t>ratione temporis</w:t>
      </w:r>
      <w:r w:rsidRPr="00850658">
        <w:rPr>
          <w:rFonts w:cs="CAGLHH+TimesNewRoman"/>
        </w:rPr>
        <w:t xml:space="preserve"> of the Panel. However, to the extent that such events gave rise to a continuing situation, the Panel has jurisdiction to examine complaints relating to that situation</w:t>
      </w:r>
      <w:bookmarkEnd w:id="40"/>
      <w:r w:rsidRPr="00850658">
        <w:rPr>
          <w:rFonts w:cs="CAGLHH+TimesNewRoman"/>
        </w:rPr>
        <w:t xml:space="preserve"> (see European Court of Human Rights (ECtHR), Grand Chamber [GC], </w:t>
      </w:r>
      <w:r w:rsidRPr="00850658">
        <w:rPr>
          <w:rFonts w:cs="CAGLHH+TimesNewRoman"/>
          <w:i/>
        </w:rPr>
        <w:t>Varnava and Others v. Turkey</w:t>
      </w:r>
      <w:r w:rsidRPr="00850658">
        <w:rPr>
          <w:rFonts w:cs="CAGLHH+TimesNewRoman"/>
        </w:rPr>
        <w:t xml:space="preserve">, nos. 16064/90 and others, judgment of 18 September 2009, §§ 147-149; ECtHR, </w:t>
      </w:r>
      <w:r w:rsidRPr="00850658">
        <w:rPr>
          <w:rFonts w:cs="CAGLHH+TimesNewRoman"/>
          <w:i/>
        </w:rPr>
        <w:t xml:space="preserve">Cyprus v. Turkey </w:t>
      </w:r>
      <w:r w:rsidRPr="00850658">
        <w:rPr>
          <w:rFonts w:cs="CAGLHH+TimesNewRoman"/>
        </w:rPr>
        <w:t xml:space="preserve">[GC] no. </w:t>
      </w:r>
      <w:r w:rsidRPr="00850658">
        <w:rPr>
          <w:rStyle w:val="s85f22697"/>
        </w:rPr>
        <w:t>25781/94, judgment of 10 May 2001,</w:t>
      </w:r>
      <w:r w:rsidRPr="00850658">
        <w:rPr>
          <w:rFonts w:cs="CAGLHH+TimesNewRoman"/>
        </w:rPr>
        <w:t xml:space="preserve"> § 136, ECHR 2001-IV).</w:t>
      </w:r>
      <w:bookmarkEnd w:id="44"/>
      <w:r w:rsidRPr="00850658">
        <w:rPr>
          <w:rFonts w:cs="CAGLHH+TimesNewRoman"/>
        </w:rPr>
        <w:t xml:space="preserve"> </w:t>
      </w:r>
    </w:p>
    <w:p w14:paraId="5361CFDD" w14:textId="77777777" w:rsidR="003E3F85" w:rsidRPr="00850658" w:rsidRDefault="003E3F85" w:rsidP="003E3F85">
      <w:pPr>
        <w:jc w:val="both"/>
      </w:pPr>
    </w:p>
    <w:p w14:paraId="6A70250D" w14:textId="77777777" w:rsidR="003E3F85" w:rsidRPr="00850658" w:rsidRDefault="003E3F85" w:rsidP="003E3F85">
      <w:pPr>
        <w:pStyle w:val="ListParagraph"/>
        <w:numPr>
          <w:ilvl w:val="1"/>
          <w:numId w:val="1"/>
        </w:numPr>
        <w:tabs>
          <w:tab w:val="clear" w:pos="360"/>
          <w:tab w:val="left" w:pos="357"/>
        </w:tabs>
        <w:autoSpaceDE w:val="0"/>
        <w:contextualSpacing/>
        <w:jc w:val="both"/>
        <w:rPr>
          <w:b/>
          <w:bCs/>
        </w:rPr>
      </w:pPr>
      <w:r w:rsidRPr="00850658">
        <w:rPr>
          <w:b/>
          <w:bCs/>
        </w:rPr>
        <w:t xml:space="preserve">The Parties’ submissions </w:t>
      </w:r>
    </w:p>
    <w:p w14:paraId="6B4A66C5" w14:textId="77777777" w:rsidR="003E3F85" w:rsidRPr="00850658" w:rsidRDefault="003E3F85" w:rsidP="003E3F85">
      <w:pPr>
        <w:rPr>
          <w:b/>
        </w:rPr>
      </w:pPr>
    </w:p>
    <w:p w14:paraId="205587DB" w14:textId="29974262" w:rsidR="003E3F85" w:rsidRPr="00850658" w:rsidRDefault="003E3F85" w:rsidP="003E3F85">
      <w:pPr>
        <w:numPr>
          <w:ilvl w:val="0"/>
          <w:numId w:val="2"/>
        </w:numPr>
        <w:suppressAutoHyphens/>
        <w:autoSpaceDE w:val="0"/>
        <w:jc w:val="both"/>
      </w:pPr>
      <w:r w:rsidRPr="00850658">
        <w:t>The complainant in substance alleges a violation concerning the lack of an adequate criminal investigation into</w:t>
      </w:r>
      <w:r w:rsidR="002948A6" w:rsidRPr="00850658">
        <w:t xml:space="preserve"> the</w:t>
      </w:r>
      <w:r w:rsidR="00991DCC" w:rsidRPr="00850658">
        <w:t xml:space="preserve"> </w:t>
      </w:r>
      <w:r w:rsidR="00AD7F08" w:rsidRPr="00850658">
        <w:t>abduction</w:t>
      </w:r>
      <w:r w:rsidR="0045100B" w:rsidRPr="00850658">
        <w:t xml:space="preserve"> a</w:t>
      </w:r>
      <w:r w:rsidR="006B3488" w:rsidRPr="00850658">
        <w:t>n</w:t>
      </w:r>
      <w:r w:rsidR="0045100B" w:rsidRPr="00850658">
        <w:t>d disappearance</w:t>
      </w:r>
      <w:r w:rsidR="00AD7F08" w:rsidRPr="00850658">
        <w:t xml:space="preserve"> </w:t>
      </w:r>
      <w:r w:rsidR="00993625" w:rsidRPr="00850658">
        <w:t>of Mr Jovan Jovanović</w:t>
      </w:r>
      <w:r w:rsidR="00991DCC" w:rsidRPr="00850658">
        <w:t>.</w:t>
      </w:r>
    </w:p>
    <w:p w14:paraId="0C49B2CE" w14:textId="77777777" w:rsidR="002948A6" w:rsidRPr="00850658" w:rsidRDefault="002948A6" w:rsidP="002948A6">
      <w:pPr>
        <w:suppressAutoHyphens/>
        <w:autoSpaceDE w:val="0"/>
        <w:ind w:left="360"/>
        <w:jc w:val="both"/>
      </w:pPr>
    </w:p>
    <w:p w14:paraId="025D3EF0" w14:textId="08D3B935" w:rsidR="003E3F85" w:rsidRPr="00850658" w:rsidRDefault="003E3F85" w:rsidP="003E3F85">
      <w:pPr>
        <w:numPr>
          <w:ilvl w:val="0"/>
          <w:numId w:val="2"/>
        </w:numPr>
        <w:suppressAutoHyphens/>
        <w:autoSpaceDE w:val="0"/>
        <w:jc w:val="both"/>
        <w:rPr>
          <w:bCs/>
        </w:rPr>
      </w:pPr>
      <w:r w:rsidRPr="00850658">
        <w:rPr>
          <w:bCs/>
        </w:rPr>
        <w:t>In his comments on the merits of the complaint,</w:t>
      </w:r>
      <w:r w:rsidR="00A9430C" w:rsidRPr="00850658">
        <w:rPr>
          <w:bCs/>
        </w:rPr>
        <w:t xml:space="preserve"> the SRSG </w:t>
      </w:r>
      <w:r w:rsidR="00A9430C" w:rsidRPr="00850658">
        <w:t xml:space="preserve">accepts that Mr Jovan Jovanović disappeared in life threatening circumstances and </w:t>
      </w:r>
      <w:r w:rsidRPr="00850658">
        <w:t xml:space="preserve">does not dispute </w:t>
      </w:r>
      <w:r w:rsidRPr="00850658">
        <w:rPr>
          <w:bCs/>
        </w:rPr>
        <w:t xml:space="preserve">that UNMIK had a responsibility to conduct an effective investigation into </w:t>
      </w:r>
      <w:r w:rsidR="00991DCC" w:rsidRPr="00850658">
        <w:t xml:space="preserve">the </w:t>
      </w:r>
      <w:r w:rsidR="00AD7F08" w:rsidRPr="00850658">
        <w:t xml:space="preserve">abduction </w:t>
      </w:r>
      <w:r w:rsidR="00993625" w:rsidRPr="00850658">
        <w:t>of Mr Jovan Jovanović</w:t>
      </w:r>
      <w:r w:rsidRPr="00850658">
        <w:rPr>
          <w:b/>
          <w:bCs/>
        </w:rPr>
        <w:t>,</w:t>
      </w:r>
      <w:r w:rsidRPr="00850658">
        <w:rPr>
          <w:bCs/>
        </w:rPr>
        <w:t xml:space="preserve"> in line with its general obligation to secure the effective implementation of the domestic laws which protect the right to life, given to it by UN Security Council Resolution 1244 (1999) (see § </w:t>
      </w:r>
      <w:r w:rsidRPr="00850658">
        <w:fldChar w:fldCharType="begin"/>
      </w:r>
      <w:r w:rsidRPr="00850658">
        <w:instrText xml:space="preserve"> REF _Ref373941473 \r \h  \* MERGEFORMAT </w:instrText>
      </w:r>
      <w:r w:rsidRPr="00850658">
        <w:fldChar w:fldCharType="separate"/>
      </w:r>
      <w:r w:rsidR="004504C3" w:rsidRPr="004504C3">
        <w:rPr>
          <w:bCs/>
        </w:rPr>
        <w:t>12</w:t>
      </w:r>
      <w:r w:rsidRPr="00850658">
        <w:fldChar w:fldCharType="end"/>
      </w:r>
      <w:r w:rsidRPr="00850658">
        <w:rPr>
          <w:bCs/>
        </w:rPr>
        <w:t xml:space="preserve"> above) and further defined by UNMIK Regulation No. 1999/1 </w:t>
      </w:r>
      <w:r w:rsidRPr="00850658">
        <w:rPr>
          <w:bCs/>
          <w:i/>
        </w:rPr>
        <w:t>On the Authority of the Interim Administration in Kosovo</w:t>
      </w:r>
      <w:r w:rsidRPr="00850658">
        <w:rPr>
          <w:bCs/>
        </w:rPr>
        <w:t xml:space="preserve"> and subsequently, UNMIK Regulation 1999/24 </w:t>
      </w:r>
      <w:r w:rsidRPr="00850658">
        <w:rPr>
          <w:bCs/>
          <w:i/>
        </w:rPr>
        <w:t>On the Law Applicable in Kosovo,</w:t>
      </w:r>
      <w:r w:rsidRPr="00850658">
        <w:rPr>
          <w:bCs/>
        </w:rPr>
        <w:t xml:space="preserve"> and Article 2 of the ECHR.</w:t>
      </w:r>
    </w:p>
    <w:p w14:paraId="49472666" w14:textId="77777777" w:rsidR="00FA7BC8" w:rsidRPr="00850658" w:rsidRDefault="00FA7BC8" w:rsidP="00FA7BC8">
      <w:pPr>
        <w:pStyle w:val="ListParagraph"/>
        <w:rPr>
          <w:bCs/>
        </w:rPr>
      </w:pPr>
    </w:p>
    <w:p w14:paraId="29E071DD" w14:textId="77777777" w:rsidR="003E3F85" w:rsidRPr="00850658" w:rsidRDefault="003E3F85" w:rsidP="003E3F85">
      <w:pPr>
        <w:numPr>
          <w:ilvl w:val="0"/>
          <w:numId w:val="2"/>
        </w:numPr>
        <w:suppressAutoHyphens/>
        <w:autoSpaceDE w:val="0"/>
        <w:jc w:val="both"/>
        <w:rPr>
          <w:bCs/>
        </w:rPr>
      </w:pPr>
      <w:r w:rsidRPr="00850658">
        <w:t>In this regard, the SRSG stresses that this responsibility stems from the procedural obligation under Article 2 of the ECHR to conduct an effective investigation where death occurs in suspicious circumstances not imputable to State agents.</w:t>
      </w:r>
      <w:bookmarkStart w:id="45" w:name="_Ref347846976"/>
      <w:r w:rsidRPr="00850658">
        <w:rPr>
          <w:bCs/>
        </w:rPr>
        <w:t xml:space="preserve"> He argues that, in general, when considering whether UNMIK has satisfied its procedural obligations under Article 2 of the ECHR, the Panel must take into consideration the special circumstances in Kosovo at the time.</w:t>
      </w:r>
      <w:bookmarkEnd w:id="45"/>
    </w:p>
    <w:p w14:paraId="227CF744" w14:textId="77777777" w:rsidR="00BD43B1" w:rsidRPr="00850658" w:rsidRDefault="00BD43B1" w:rsidP="00BD43B1">
      <w:pPr>
        <w:pStyle w:val="ListParagraph"/>
        <w:rPr>
          <w:bCs/>
        </w:rPr>
      </w:pPr>
    </w:p>
    <w:p w14:paraId="2F26A639" w14:textId="77777777" w:rsidR="00BD43B1" w:rsidRPr="00850658" w:rsidRDefault="00BD43B1" w:rsidP="00BD43B1">
      <w:pPr>
        <w:numPr>
          <w:ilvl w:val="0"/>
          <w:numId w:val="2"/>
        </w:numPr>
        <w:tabs>
          <w:tab w:val="left" w:pos="709"/>
        </w:tabs>
        <w:suppressAutoHyphens/>
        <w:autoSpaceDE w:val="0"/>
        <w:jc w:val="both"/>
        <w:rPr>
          <w:lang w:eastAsia="nl-NL"/>
        </w:rPr>
      </w:pPr>
      <w:r w:rsidRPr="00850658">
        <w:t xml:space="preserve">The </w:t>
      </w:r>
      <w:r w:rsidRPr="00850658">
        <w:rPr>
          <w:bCs/>
        </w:rPr>
        <w:t>SRSG</w:t>
      </w:r>
      <w:r w:rsidRPr="00850658">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14:paraId="78C3AD39" w14:textId="77777777" w:rsidR="003E3F85" w:rsidRPr="00850658" w:rsidRDefault="003E3F85" w:rsidP="003E3F85">
      <w:pPr>
        <w:pStyle w:val="ListParagraph"/>
      </w:pPr>
    </w:p>
    <w:p w14:paraId="05D95FB8" w14:textId="77777777" w:rsidR="003E3F85" w:rsidRPr="00850658" w:rsidRDefault="00AD7F08" w:rsidP="003E3F85">
      <w:pPr>
        <w:numPr>
          <w:ilvl w:val="0"/>
          <w:numId w:val="2"/>
        </w:numPr>
        <w:tabs>
          <w:tab w:val="left" w:pos="709"/>
        </w:tabs>
        <w:suppressAutoHyphens/>
        <w:autoSpaceDE w:val="0"/>
        <w:jc w:val="both"/>
        <w:rPr>
          <w:bCs/>
        </w:rPr>
      </w:pPr>
      <w:r w:rsidRPr="00850658">
        <w:t>The SRSG adds that in</w:t>
      </w:r>
      <w:r w:rsidR="00A62C6D" w:rsidRPr="00850658">
        <w:t xml:space="preserve"> June</w:t>
      </w:r>
      <w:r w:rsidR="003E3F85" w:rsidRPr="00850658">
        <w:t xml:space="preserve"> 1999, “the security situation </w:t>
      </w:r>
      <w:r w:rsidR="00622236" w:rsidRPr="00850658">
        <w:t xml:space="preserve">in post-conflict Kosovo was tense: </w:t>
      </w:r>
      <w:r w:rsidR="003E3F85" w:rsidRPr="00850658">
        <w:t>KFOR was still in the process of reaching sufficient strength to maintain public safety and law and order and there were a number of serious criminal incidents targeting Kosovo-Serbs, including abductions and killings.”</w:t>
      </w:r>
    </w:p>
    <w:p w14:paraId="7F39BAA1" w14:textId="77777777" w:rsidR="003E3F85" w:rsidRPr="00850658" w:rsidRDefault="003E3F85" w:rsidP="00BD43B1"/>
    <w:p w14:paraId="64B9B9CF" w14:textId="77777777" w:rsidR="003E3F85" w:rsidRPr="00850658" w:rsidRDefault="003E3F85" w:rsidP="003E3F85">
      <w:pPr>
        <w:numPr>
          <w:ilvl w:val="0"/>
          <w:numId w:val="2"/>
        </w:numPr>
        <w:tabs>
          <w:tab w:val="left" w:pos="709"/>
        </w:tabs>
        <w:suppressAutoHyphens/>
        <w:autoSpaceDE w:val="0"/>
        <w:jc w:val="both"/>
        <w:rPr>
          <w:lang w:eastAsia="nl-NL"/>
        </w:rPr>
      </w:pPr>
      <w:bookmarkStart w:id="46" w:name="_Ref368311784"/>
      <w:r w:rsidRPr="00850658">
        <w:rPr>
          <w:bCs/>
        </w:rPr>
        <w:t xml:space="preserve">The SRSG argues that </w:t>
      </w:r>
      <w:r w:rsidRPr="00850658">
        <w:t>in</w:t>
      </w:r>
      <w:r w:rsidRPr="00850658">
        <w:rPr>
          <w:bCs/>
        </w:rPr>
        <w:t xml:space="preserve"> its case-law on Article 2, the European Court of Human Rights has stated that due consideration shall be given to the difficulties inherent to post-conflict </w:t>
      </w:r>
      <w:r w:rsidRPr="00850658">
        <w:rPr>
          <w:bCs/>
        </w:rPr>
        <w:lastRenderedPageBreak/>
        <w:t>situations and the problems limiting the ability of investigating authorities</w:t>
      </w:r>
      <w:r w:rsidR="00711C23" w:rsidRPr="00850658">
        <w:rPr>
          <w:bCs/>
        </w:rPr>
        <w:t xml:space="preserve"> when conducting investigations in</w:t>
      </w:r>
      <w:r w:rsidRPr="00850658">
        <w:rPr>
          <w:bCs/>
        </w:rPr>
        <w:t xml:space="preserve"> such cases. </w:t>
      </w:r>
      <w:r w:rsidRPr="00850658">
        <w:t xml:space="preserve">In this regard, the SRSG recalls the judgment of 15 February 2011 rendered by the European Court in the case </w:t>
      </w:r>
      <w:r w:rsidRPr="00850658">
        <w:rPr>
          <w:i/>
        </w:rPr>
        <w:t>Palić v. Bosnia and Herzegovina</w:t>
      </w:r>
      <w:r w:rsidR="00711C23" w:rsidRPr="00850658">
        <w:rPr>
          <w:i/>
        </w:rPr>
        <w:t>,</w:t>
      </w:r>
      <w:r w:rsidRPr="00850658">
        <w:t xml:space="preserve"> stating at paragraph 70:</w:t>
      </w:r>
      <w:bookmarkEnd w:id="46"/>
    </w:p>
    <w:p w14:paraId="441A15D6" w14:textId="77777777" w:rsidR="003E3F85" w:rsidRPr="00850658" w:rsidRDefault="003E3F85" w:rsidP="003E3F85">
      <w:pPr>
        <w:pStyle w:val="ListParagraph"/>
        <w:rPr>
          <w:lang w:eastAsia="nl-NL"/>
        </w:rPr>
      </w:pPr>
    </w:p>
    <w:p w14:paraId="37C49234" w14:textId="77777777" w:rsidR="003E3F85" w:rsidRPr="00850658" w:rsidRDefault="003E3F85" w:rsidP="00CA379B">
      <w:pPr>
        <w:ind w:left="862" w:right="567"/>
        <w:jc w:val="both"/>
        <w:rPr>
          <w:lang w:eastAsia="nl-NL"/>
        </w:rPr>
      </w:pPr>
      <w:r w:rsidRPr="00850658">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14:paraId="0B29981B" w14:textId="77777777" w:rsidR="003E3F85" w:rsidRPr="00850658" w:rsidRDefault="003E3F85" w:rsidP="003E3F85">
      <w:pPr>
        <w:pStyle w:val="ListParagraph"/>
        <w:rPr>
          <w:lang w:eastAsia="en-US"/>
        </w:rPr>
      </w:pPr>
    </w:p>
    <w:p w14:paraId="55BCF4A9" w14:textId="77777777" w:rsidR="003E3F85" w:rsidRPr="00850658" w:rsidRDefault="003E3F85" w:rsidP="003E3F85">
      <w:pPr>
        <w:numPr>
          <w:ilvl w:val="0"/>
          <w:numId w:val="2"/>
        </w:numPr>
        <w:tabs>
          <w:tab w:val="left" w:pos="709"/>
        </w:tabs>
        <w:suppressAutoHyphens/>
        <w:autoSpaceDE w:val="0"/>
        <w:jc w:val="both"/>
        <w:rPr>
          <w:lang w:eastAsia="nl-NL"/>
        </w:rPr>
      </w:pPr>
      <w:r w:rsidRPr="00850658">
        <w:t xml:space="preserve">In the </w:t>
      </w:r>
      <w:r w:rsidRPr="00850658">
        <w:rPr>
          <w:bCs/>
        </w:rPr>
        <w:t>view</w:t>
      </w:r>
      <w:r w:rsidRPr="00850658">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14:paraId="4D02E1B8" w14:textId="77777777" w:rsidR="003E3F85" w:rsidRPr="00850658" w:rsidRDefault="003E3F85" w:rsidP="00A62C6D">
      <w:pPr>
        <w:autoSpaceDE w:val="0"/>
        <w:jc w:val="both"/>
      </w:pPr>
    </w:p>
    <w:p w14:paraId="029A2005" w14:textId="77777777" w:rsidR="003E3F85" w:rsidRPr="00850658" w:rsidRDefault="003E3F85" w:rsidP="003E3F85">
      <w:pPr>
        <w:numPr>
          <w:ilvl w:val="0"/>
          <w:numId w:val="2"/>
        </w:numPr>
        <w:tabs>
          <w:tab w:val="left" w:pos="709"/>
        </w:tabs>
        <w:suppressAutoHyphens/>
        <w:autoSpaceDE w:val="0"/>
        <w:jc w:val="both"/>
        <w:rPr>
          <w:lang w:eastAsia="nl-NL"/>
        </w:rPr>
      </w:pPr>
      <w:bookmarkStart w:id="47" w:name="_Ref373942084"/>
      <w:r w:rsidRPr="00850658">
        <w:t xml:space="preserve">The </w:t>
      </w:r>
      <w:r w:rsidRPr="00850658">
        <w:rPr>
          <w:bCs/>
        </w:rPr>
        <w:t>SRSG</w:t>
      </w:r>
      <w:r w:rsidRPr="00850658">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47"/>
    </w:p>
    <w:p w14:paraId="6DCB20ED" w14:textId="77777777" w:rsidR="003E3F85" w:rsidRPr="00850658" w:rsidRDefault="003E3F85" w:rsidP="003E3F85">
      <w:pPr>
        <w:pStyle w:val="ListParagraph"/>
        <w:rPr>
          <w:lang w:eastAsia="nl-NL"/>
        </w:rPr>
      </w:pPr>
    </w:p>
    <w:p w14:paraId="24BB1E63" w14:textId="77777777" w:rsidR="003E3F85" w:rsidRPr="00850658" w:rsidRDefault="003E3F85" w:rsidP="00CA379B">
      <w:pPr>
        <w:ind w:left="862" w:right="567"/>
        <w:jc w:val="both"/>
        <w:rPr>
          <w:lang w:eastAsia="nl-NL"/>
        </w:rPr>
      </w:pPr>
      <w:r w:rsidRPr="00850658">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14:paraId="398970F1" w14:textId="77777777" w:rsidR="003E3F85" w:rsidRPr="00850658" w:rsidRDefault="003E3F85" w:rsidP="003E3F85">
      <w:pPr>
        <w:pStyle w:val="ListParagraph"/>
        <w:jc w:val="both"/>
        <w:rPr>
          <w:lang w:eastAsia="nl-NL"/>
        </w:rPr>
      </w:pPr>
    </w:p>
    <w:p w14:paraId="68BE9122" w14:textId="77777777" w:rsidR="003E3F85" w:rsidRPr="00850658" w:rsidRDefault="003E3F85" w:rsidP="00CA379B">
      <w:pPr>
        <w:ind w:left="862" w:right="567"/>
        <w:jc w:val="both"/>
        <w:rPr>
          <w:lang w:eastAsia="nl-NL"/>
        </w:rPr>
      </w:pPr>
      <w:r w:rsidRPr="00850658">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14:paraId="71D2BF68" w14:textId="77777777" w:rsidR="003E3F85" w:rsidRPr="00850658" w:rsidRDefault="003E3F85" w:rsidP="003E3F85">
      <w:pPr>
        <w:pStyle w:val="ListParagraph"/>
        <w:rPr>
          <w:lang w:eastAsia="en-US"/>
        </w:rPr>
      </w:pPr>
    </w:p>
    <w:p w14:paraId="3D05F4DD" w14:textId="77777777" w:rsidR="003E3F85" w:rsidRPr="00850658" w:rsidRDefault="003E3F85" w:rsidP="003E3F85">
      <w:pPr>
        <w:numPr>
          <w:ilvl w:val="0"/>
          <w:numId w:val="2"/>
        </w:numPr>
        <w:tabs>
          <w:tab w:val="left" w:pos="709"/>
        </w:tabs>
        <w:suppressAutoHyphens/>
        <w:autoSpaceDE w:val="0"/>
        <w:jc w:val="both"/>
        <w:rPr>
          <w:lang w:eastAsia="nl-NL"/>
        </w:rPr>
      </w:pPr>
      <w:r w:rsidRPr="00850658">
        <w:t xml:space="preserve">The SRSG states that UNMIK international police officers had to adjust to conducting </w:t>
      </w:r>
      <w:r w:rsidRPr="00850658">
        <w:rPr>
          <w:bCs/>
        </w:rPr>
        <w:t>investigations</w:t>
      </w:r>
      <w:r w:rsidRPr="00850658">
        <w:t xml:space="preserve"> in</w:t>
      </w:r>
      <w:r w:rsidR="00D142E8" w:rsidRPr="00850658">
        <w:t xml:space="preserve"> a foreign territory and cultures</w:t>
      </w:r>
      <w:r w:rsidRPr="00850658">
        <w:t xml:space="preserve">, with limited support from the still developing Kosovo Police. He further states that these investigators were often faced with </w:t>
      </w:r>
      <w:r w:rsidRPr="00850658">
        <w:lastRenderedPageBreak/>
        <w:t>situations where individuals holding relevant knowledge on the whereabouts and fate of missing persons did not want to disclose this information. According to the SRSG, “</w:t>
      </w:r>
      <w:r w:rsidR="002948A6" w:rsidRPr="00850658">
        <w:t>[</w:t>
      </w:r>
      <w:r w:rsidRPr="00850658">
        <w:t>s</w:t>
      </w:r>
      <w:r w:rsidR="002948A6" w:rsidRPr="00850658">
        <w:t>]</w:t>
      </w:r>
      <w:r w:rsidRPr="00850658">
        <w:t>uch constraints inhibited the ability of</w:t>
      </w:r>
      <w:r w:rsidR="002948A6" w:rsidRPr="00850658">
        <w:t xml:space="preserve"> an institution such as</w:t>
      </w:r>
      <w:r w:rsidRPr="00850658">
        <w:t xml:space="preserve"> UNMIK Police</w:t>
      </w:r>
      <w:r w:rsidR="00A437DF" w:rsidRPr="00850658">
        <w:t xml:space="preserve"> to conduct</w:t>
      </w:r>
      <w:r w:rsidR="002948A6" w:rsidRPr="00850658">
        <w:t xml:space="preserve"> all</w:t>
      </w:r>
      <w:r w:rsidRPr="00850658">
        <w:t xml:space="preserve"> investigation</w:t>
      </w:r>
      <w:r w:rsidR="002948A6" w:rsidRPr="00850658">
        <w:t>s in a manner […] that</w:t>
      </w:r>
      <w:r w:rsidRPr="00850658">
        <w:t xml:space="preserve"> may be demonstrated, or</w:t>
      </w:r>
      <w:r w:rsidR="002948A6" w:rsidRPr="00850658">
        <w:t xml:space="preserve"> at least</w:t>
      </w:r>
      <w:r w:rsidRPr="00850658">
        <w:t xml:space="preserve"> expected,</w:t>
      </w:r>
      <w:r w:rsidR="00A62C6D" w:rsidRPr="00850658">
        <w:t xml:space="preserve"> in</w:t>
      </w:r>
      <w:r w:rsidR="002948A6" w:rsidRPr="00850658">
        <w:t xml:space="preserve"> other</w:t>
      </w:r>
      <w:r w:rsidRPr="00850658">
        <w:t xml:space="preserve"> States with</w:t>
      </w:r>
      <w:r w:rsidR="002948A6" w:rsidRPr="00850658">
        <w:t xml:space="preserve"> more</w:t>
      </w:r>
      <w:r w:rsidRPr="00850658">
        <w:t xml:space="preserve"> established</w:t>
      </w:r>
      <w:r w:rsidR="00A437DF" w:rsidRPr="00850658">
        <w:t xml:space="preserve"> </w:t>
      </w:r>
      <w:r w:rsidRPr="00850658">
        <w:t>institutions</w:t>
      </w:r>
      <w:r w:rsidR="00A437DF" w:rsidRPr="00850658">
        <w:t xml:space="preserve"> and without the surge in cases of this nature</w:t>
      </w:r>
      <w:r w:rsidRPr="00850658">
        <w:t xml:space="preserve"> </w:t>
      </w:r>
      <w:r w:rsidR="00A437DF" w:rsidRPr="00850658">
        <w:t>associated with a post-conflict situation</w:t>
      </w:r>
      <w:r w:rsidRPr="00850658">
        <w:t>.”</w:t>
      </w:r>
      <w:bookmarkStart w:id="48" w:name="_Ref387249369"/>
      <w:bookmarkStart w:id="49" w:name="_Ref373946471"/>
      <w:bookmarkStart w:id="50" w:name="_Ref366698716"/>
    </w:p>
    <w:p w14:paraId="0E18F062" w14:textId="77777777" w:rsidR="00FA7BC8" w:rsidRPr="00850658" w:rsidRDefault="00FA7BC8" w:rsidP="00FA7BC8">
      <w:pPr>
        <w:tabs>
          <w:tab w:val="left" w:pos="709"/>
        </w:tabs>
        <w:suppressAutoHyphens/>
        <w:autoSpaceDE w:val="0"/>
        <w:ind w:left="360"/>
        <w:jc w:val="both"/>
        <w:rPr>
          <w:lang w:eastAsia="nl-NL"/>
        </w:rPr>
      </w:pPr>
    </w:p>
    <w:p w14:paraId="09C3455C" w14:textId="51A29DB1" w:rsidR="00FA7BC8" w:rsidRPr="00850658" w:rsidRDefault="00FA7BC8" w:rsidP="003E3F85">
      <w:pPr>
        <w:numPr>
          <w:ilvl w:val="0"/>
          <w:numId w:val="2"/>
        </w:numPr>
        <w:tabs>
          <w:tab w:val="left" w:pos="709"/>
        </w:tabs>
        <w:suppressAutoHyphens/>
        <w:autoSpaceDE w:val="0"/>
        <w:jc w:val="both"/>
        <w:rPr>
          <w:lang w:eastAsia="nl-NL"/>
        </w:rPr>
      </w:pPr>
      <w:r w:rsidRPr="00850658">
        <w:t>With respect to this case, the SRSG states that “[t]he matter apparently came to the attention of UNMIK and in 2003 an UNMIK MPU file was opened</w:t>
      </w:r>
      <w:r w:rsidR="00895856">
        <w:t>;</w:t>
      </w:r>
      <w:r w:rsidRPr="00850658">
        <w:t xml:space="preserve"> any alleged responsibility of UNMIK under Article 2 and 3 of the ECHR may not be envisageable until 2003.”</w:t>
      </w:r>
    </w:p>
    <w:p w14:paraId="288F9455" w14:textId="77777777" w:rsidR="003E3F85" w:rsidRPr="00850658" w:rsidRDefault="003E3F85" w:rsidP="003E3F85">
      <w:pPr>
        <w:tabs>
          <w:tab w:val="left" w:pos="709"/>
        </w:tabs>
        <w:suppressAutoHyphens/>
        <w:autoSpaceDE w:val="0"/>
        <w:ind w:left="360"/>
        <w:jc w:val="both"/>
        <w:rPr>
          <w:lang w:eastAsia="nl-NL"/>
        </w:rPr>
      </w:pPr>
    </w:p>
    <w:p w14:paraId="273A56C0" w14:textId="7D0A5B2C" w:rsidR="00673EE6" w:rsidRPr="00850658" w:rsidRDefault="003E3F85" w:rsidP="00BC568C">
      <w:pPr>
        <w:numPr>
          <w:ilvl w:val="0"/>
          <w:numId w:val="2"/>
        </w:numPr>
        <w:tabs>
          <w:tab w:val="left" w:pos="709"/>
        </w:tabs>
        <w:suppressAutoHyphens/>
        <w:autoSpaceDE w:val="0"/>
        <w:jc w:val="both"/>
      </w:pPr>
      <w:bookmarkStart w:id="51" w:name="_Ref400716090"/>
      <w:bookmarkStart w:id="52" w:name="_Ref397946236"/>
      <w:bookmarkStart w:id="53" w:name="_Ref390942754"/>
      <w:bookmarkStart w:id="54" w:name="_Ref401246390"/>
      <w:r w:rsidRPr="00850658">
        <w:rPr>
          <w:bCs/>
        </w:rPr>
        <w:t>With</w:t>
      </w:r>
      <w:r w:rsidRPr="00850658">
        <w:t xml:space="preserve"> </w:t>
      </w:r>
      <w:r w:rsidR="00A62C6D" w:rsidRPr="00850658">
        <w:t xml:space="preserve">regard to </w:t>
      </w:r>
      <w:r w:rsidR="00673EE6" w:rsidRPr="00850658">
        <w:t>UNMIK’s efforts in locating the mortal remains</w:t>
      </w:r>
      <w:r w:rsidRPr="00850658">
        <w:t xml:space="preserve">, the SRSG </w:t>
      </w:r>
      <w:r w:rsidR="00622236" w:rsidRPr="00850658">
        <w:t xml:space="preserve">asserts that </w:t>
      </w:r>
      <w:bookmarkEnd w:id="48"/>
      <w:bookmarkEnd w:id="49"/>
      <w:bookmarkEnd w:id="51"/>
      <w:bookmarkEnd w:id="52"/>
      <w:bookmarkEnd w:id="53"/>
      <w:bookmarkEnd w:id="54"/>
      <w:r w:rsidR="00993625" w:rsidRPr="00850658">
        <w:t>“based on the reference number given by MPU for the disappearance of Mr</w:t>
      </w:r>
      <w:r w:rsidR="00673EE6" w:rsidRPr="00850658">
        <w:t>.</w:t>
      </w:r>
      <w:r w:rsidR="00993625" w:rsidRPr="00850658">
        <w:t xml:space="preserve"> Jovanović, it can be asserted that UNMIK OMPF and MPU became aware of his disappearance sometime in 2003…In the Anti Mortem Investigation Report of the War Crimes Unit/Missing Persons Section of 26 January 2005 (hereinafter “Investigation Report”) it is stated that </w:t>
      </w:r>
      <w:r w:rsidR="006B3488" w:rsidRPr="00850658">
        <w:t>t</w:t>
      </w:r>
      <w:r w:rsidR="00993625" w:rsidRPr="00850658">
        <w:t>here is no information that could lead to a possible location of Mr Jovanović.</w:t>
      </w:r>
      <w:r w:rsidR="00673EE6" w:rsidRPr="00850658">
        <w:t>”</w:t>
      </w:r>
    </w:p>
    <w:p w14:paraId="041EBD60" w14:textId="77777777" w:rsidR="00673EE6" w:rsidRPr="00850658" w:rsidRDefault="00673EE6" w:rsidP="00673EE6">
      <w:pPr>
        <w:pStyle w:val="ListParagraph"/>
      </w:pPr>
    </w:p>
    <w:p w14:paraId="2A53B324" w14:textId="77777777" w:rsidR="00673EE6" w:rsidRPr="00850658" w:rsidRDefault="00673EE6" w:rsidP="00673EE6">
      <w:pPr>
        <w:numPr>
          <w:ilvl w:val="0"/>
          <w:numId w:val="2"/>
        </w:numPr>
        <w:tabs>
          <w:tab w:val="left" w:pos="709"/>
        </w:tabs>
        <w:suppressAutoHyphens/>
        <w:autoSpaceDE w:val="0"/>
        <w:jc w:val="both"/>
      </w:pPr>
      <w:r w:rsidRPr="00850658">
        <w:t>The SRSG adds that “[A]ccording to the Investigation Report, UNMIK Police tried to contact the sister of Mr.</w:t>
      </w:r>
      <w:r w:rsidR="00993625" w:rsidRPr="00850658">
        <w:t xml:space="preserve"> </w:t>
      </w:r>
      <w:r w:rsidRPr="00850658">
        <w:t xml:space="preserve">Jovanović via telephone, in order to get more information about his disappearance and any possible indications that could lead to his whereabouts. Unfortunately there was no answer. The Investigation Report further indicates that UNMIK Police could not get any information from the available databases and internet sources. The Investigation Report also notes that there were no witnesses available and that the case should remain open and inactive within the WCU.” The SRSG concludes by stating: “Based on </w:t>
      </w:r>
      <w:r w:rsidR="00E03398" w:rsidRPr="00850658">
        <w:t>available</w:t>
      </w:r>
      <w:r w:rsidRPr="00850658">
        <w:t xml:space="preserve"> documents, there is no conclusive information as to the fate of Mr. Jovanović.”</w:t>
      </w:r>
    </w:p>
    <w:p w14:paraId="680C2672" w14:textId="77777777" w:rsidR="00711F6E" w:rsidRPr="00850658" w:rsidRDefault="00711F6E" w:rsidP="00AD7F08">
      <w:pPr>
        <w:tabs>
          <w:tab w:val="left" w:pos="709"/>
        </w:tabs>
        <w:suppressAutoHyphens/>
        <w:autoSpaceDE w:val="0"/>
        <w:jc w:val="both"/>
      </w:pPr>
    </w:p>
    <w:p w14:paraId="352BD05C" w14:textId="61BA7CDA" w:rsidR="00673EE6" w:rsidRPr="00850658" w:rsidRDefault="00711F6E" w:rsidP="00AD7F08">
      <w:pPr>
        <w:numPr>
          <w:ilvl w:val="0"/>
          <w:numId w:val="2"/>
        </w:numPr>
        <w:tabs>
          <w:tab w:val="left" w:pos="709"/>
        </w:tabs>
        <w:suppressAutoHyphens/>
        <w:autoSpaceDE w:val="0"/>
        <w:jc w:val="both"/>
        <w:rPr>
          <w:bCs/>
        </w:rPr>
      </w:pPr>
      <w:bookmarkStart w:id="55" w:name="_Ref409018586"/>
      <w:bookmarkStart w:id="56" w:name="_Ref411961384"/>
      <w:bookmarkStart w:id="57" w:name="_Ref412035115"/>
      <w:r w:rsidRPr="00850658">
        <w:t>With respect to the investigation aimed at identifying and bringing to justice the perpetrators who are responsi</w:t>
      </w:r>
      <w:r w:rsidR="00AD7F08" w:rsidRPr="00850658">
        <w:t xml:space="preserve">ble for the disappearance of Mr </w:t>
      </w:r>
      <w:r w:rsidR="00673EE6" w:rsidRPr="00850658">
        <w:t>Jovan Jovanović</w:t>
      </w:r>
      <w:r w:rsidRPr="00850658">
        <w:t>, the SRSG argues that “</w:t>
      </w:r>
      <w:r w:rsidR="006B3488" w:rsidRPr="00850658">
        <w:t>[i</w:t>
      </w:r>
      <w:r w:rsidR="00673EE6" w:rsidRPr="00850658">
        <w:t>]t can be asserted that an inves</w:t>
      </w:r>
      <w:r w:rsidR="006B3488" w:rsidRPr="00850658">
        <w:t>tigation was conducted by UNMIK</w:t>
      </w:r>
      <w:r w:rsidR="00673EE6" w:rsidRPr="00850658">
        <w:t xml:space="preserve">. Based on the information provided in the files of the former IPU – War Crimes Unit, it can be seen that UNMIK Police contacted the family members of Mr. Jovanović in order to get more information regarding the whereabouts of those allegedly responsible for the fate of Mr. Jovanović.” </w:t>
      </w:r>
    </w:p>
    <w:p w14:paraId="6CE5374E" w14:textId="77777777" w:rsidR="00673EE6" w:rsidRPr="00850658" w:rsidRDefault="00673EE6" w:rsidP="00673EE6">
      <w:pPr>
        <w:pStyle w:val="ListParagraph"/>
        <w:rPr>
          <w:bCs/>
        </w:rPr>
      </w:pPr>
    </w:p>
    <w:p w14:paraId="30879C08" w14:textId="77777777" w:rsidR="00673EE6" w:rsidRPr="00850658" w:rsidRDefault="00673EE6" w:rsidP="00AD7F08">
      <w:pPr>
        <w:numPr>
          <w:ilvl w:val="0"/>
          <w:numId w:val="2"/>
        </w:numPr>
        <w:tabs>
          <w:tab w:val="left" w:pos="709"/>
        </w:tabs>
        <w:suppressAutoHyphens/>
        <w:autoSpaceDE w:val="0"/>
        <w:jc w:val="both"/>
        <w:rPr>
          <w:bCs/>
        </w:rPr>
      </w:pPr>
      <w:r w:rsidRPr="00850658">
        <w:rPr>
          <w:bCs/>
        </w:rPr>
        <w:t>The SRSG refers to the Case Analysis Report of the WCIU of 8 October 2007, which stated that there were no witnesses or suspects mentioned in the report material and re</w:t>
      </w:r>
      <w:r w:rsidR="00993121" w:rsidRPr="00850658">
        <w:rPr>
          <w:bCs/>
        </w:rPr>
        <w:t>commended that the case be closed as “there is no realistic likelihood of identifying any suspects.”</w:t>
      </w:r>
    </w:p>
    <w:p w14:paraId="5D799993" w14:textId="77777777" w:rsidR="00673EE6" w:rsidRPr="00850658" w:rsidRDefault="00673EE6" w:rsidP="00673EE6">
      <w:pPr>
        <w:pStyle w:val="ListParagraph"/>
      </w:pPr>
    </w:p>
    <w:p w14:paraId="1D057EDC" w14:textId="77777777" w:rsidR="00993121" w:rsidRPr="00850658" w:rsidRDefault="00993121" w:rsidP="00993121">
      <w:pPr>
        <w:numPr>
          <w:ilvl w:val="0"/>
          <w:numId w:val="2"/>
        </w:numPr>
        <w:tabs>
          <w:tab w:val="left" w:pos="709"/>
        </w:tabs>
        <w:suppressAutoHyphens/>
        <w:autoSpaceDE w:val="0"/>
        <w:jc w:val="both"/>
        <w:rPr>
          <w:bCs/>
        </w:rPr>
      </w:pPr>
      <w:bookmarkStart w:id="58" w:name="_Ref413920556"/>
      <w:r w:rsidRPr="00850658">
        <w:t>The SRSG concludes by stating “</w:t>
      </w:r>
      <w:r w:rsidR="009D0E5E" w:rsidRPr="00850658">
        <w:t>[b]ased on the documents obtained from EULEX it is evident that UNMIK Police did open and pursue an investigation into the whereabouts of Mr. Jovanović. The investigation started soon after the case was reported to UNMIK and continued until 2008… however,</w:t>
      </w:r>
      <w:r w:rsidRPr="00850658">
        <w:t xml:space="preserve"> </w:t>
      </w:r>
      <w:r w:rsidR="00AD7F08" w:rsidRPr="00850658">
        <w:t xml:space="preserve">UNMIK has noted in other missing </w:t>
      </w:r>
      <w:proofErr w:type="gramStart"/>
      <w:r w:rsidR="00AD7F08" w:rsidRPr="00850658">
        <w:t>persons</w:t>
      </w:r>
      <w:proofErr w:type="gramEnd"/>
      <w:r w:rsidR="00AD7F08" w:rsidRPr="00850658">
        <w:t xml:space="preserve"> cases that, wi</w:t>
      </w:r>
      <w:r w:rsidRPr="00850658">
        <w:t xml:space="preserve">thout witnesses </w:t>
      </w:r>
      <w:r w:rsidR="00AD7F08" w:rsidRPr="00850658">
        <w:t>coming forward or physical evidence being discovered, police investigations invariably stall because of lack of evidence. In view of the foregoing</w:t>
      </w:r>
      <w:r w:rsidRPr="00850658">
        <w:t>, it is evident that UNMIK Police did conduct investigative efforts in accordance with the procedural requirements of Article 2, aiming at bringing the perpetrators to justice.</w:t>
      </w:r>
      <w:bookmarkEnd w:id="55"/>
      <w:bookmarkEnd w:id="56"/>
      <w:bookmarkEnd w:id="57"/>
      <w:r w:rsidRPr="00850658">
        <w:t>”</w:t>
      </w:r>
      <w:bookmarkEnd w:id="58"/>
    </w:p>
    <w:p w14:paraId="76E08B52" w14:textId="77777777" w:rsidR="00993121" w:rsidRPr="00850658" w:rsidRDefault="00993121" w:rsidP="00993121">
      <w:pPr>
        <w:pStyle w:val="ListParagraph"/>
        <w:rPr>
          <w:bCs/>
        </w:rPr>
      </w:pPr>
    </w:p>
    <w:p w14:paraId="1F4DBAFB" w14:textId="77777777" w:rsidR="00711F6E" w:rsidRPr="00850658" w:rsidRDefault="00711F6E" w:rsidP="00711F6E">
      <w:pPr>
        <w:numPr>
          <w:ilvl w:val="0"/>
          <w:numId w:val="2"/>
        </w:numPr>
        <w:tabs>
          <w:tab w:val="left" w:pos="709"/>
        </w:tabs>
        <w:suppressAutoHyphens/>
        <w:autoSpaceDE w:val="0"/>
        <w:jc w:val="both"/>
        <w:rPr>
          <w:lang w:eastAsia="nl-NL"/>
        </w:rPr>
      </w:pPr>
      <w:bookmarkStart w:id="59" w:name="_Ref367285537"/>
      <w:bookmarkStart w:id="60" w:name="_Ref368319301"/>
      <w:bookmarkEnd w:id="50"/>
      <w:r w:rsidRPr="00850658">
        <w:rPr>
          <w:lang w:eastAsia="nl-NL"/>
        </w:rPr>
        <w:t xml:space="preserve">The SRSG also informed the Panel that in view of the possibility that more information in relation to this case exists, he might make further comments on this matter. However, no further communication in this regard, other than confirmation of the full disclosure of the investigative files, has been received to date. </w:t>
      </w:r>
    </w:p>
    <w:p w14:paraId="040B0222" w14:textId="77777777" w:rsidR="00711F6E" w:rsidRPr="00850658" w:rsidRDefault="00711F6E" w:rsidP="00711F6E">
      <w:pPr>
        <w:tabs>
          <w:tab w:val="left" w:pos="709"/>
        </w:tabs>
        <w:suppressAutoHyphens/>
        <w:autoSpaceDE w:val="0"/>
        <w:jc w:val="both"/>
        <w:rPr>
          <w:lang w:eastAsia="nl-NL"/>
        </w:rPr>
      </w:pPr>
    </w:p>
    <w:bookmarkEnd w:id="59"/>
    <w:bookmarkEnd w:id="60"/>
    <w:p w14:paraId="355D88C0" w14:textId="77777777" w:rsidR="003E3F85" w:rsidRPr="00850658" w:rsidRDefault="003E3F85" w:rsidP="003E3F85">
      <w:pPr>
        <w:pStyle w:val="ListParagraph"/>
        <w:numPr>
          <w:ilvl w:val="1"/>
          <w:numId w:val="1"/>
        </w:numPr>
        <w:tabs>
          <w:tab w:val="clear" w:pos="360"/>
          <w:tab w:val="left" w:pos="357"/>
        </w:tabs>
        <w:autoSpaceDE w:val="0"/>
        <w:contextualSpacing/>
        <w:jc w:val="both"/>
        <w:rPr>
          <w:b/>
        </w:rPr>
      </w:pPr>
      <w:r w:rsidRPr="00850658">
        <w:rPr>
          <w:b/>
        </w:rPr>
        <w:t xml:space="preserve">The </w:t>
      </w:r>
      <w:r w:rsidRPr="00850658">
        <w:rPr>
          <w:b/>
          <w:bCs/>
        </w:rPr>
        <w:t>Panel’s</w:t>
      </w:r>
      <w:r w:rsidRPr="00850658">
        <w:rPr>
          <w:b/>
        </w:rPr>
        <w:t xml:space="preserve"> assessment</w:t>
      </w:r>
    </w:p>
    <w:p w14:paraId="605402A4" w14:textId="77777777" w:rsidR="003E3F85" w:rsidRPr="00850658" w:rsidRDefault="003E3F85" w:rsidP="003E3F85">
      <w:pPr>
        <w:jc w:val="both"/>
      </w:pPr>
    </w:p>
    <w:p w14:paraId="11F64611" w14:textId="77777777" w:rsidR="003E3F85" w:rsidRPr="00850658" w:rsidRDefault="003E3F85" w:rsidP="003E3F85">
      <w:pPr>
        <w:numPr>
          <w:ilvl w:val="0"/>
          <w:numId w:val="2"/>
        </w:numPr>
        <w:tabs>
          <w:tab w:val="left" w:pos="709"/>
        </w:tabs>
        <w:suppressAutoHyphens/>
        <w:autoSpaceDE w:val="0"/>
        <w:jc w:val="both"/>
      </w:pPr>
      <w:r w:rsidRPr="00850658">
        <w:t>The</w:t>
      </w:r>
      <w:r w:rsidRPr="00850658">
        <w:rPr>
          <w:bCs/>
        </w:rPr>
        <w:t xml:space="preserve"> Panel considers that the complainant invokes a violation of the procedural obligation </w:t>
      </w:r>
      <w:r w:rsidRPr="00850658">
        <w:t>stemming</w:t>
      </w:r>
      <w:r w:rsidRPr="00850658">
        <w:rPr>
          <w:bCs/>
        </w:rPr>
        <w:t xml:space="preserve"> from the right to life, guaranteed by Article 2 of the European Convention on Human Rights (ECHR) in that UNMIK did not conduct an effectiv</w:t>
      </w:r>
      <w:r w:rsidR="00622236" w:rsidRPr="00850658">
        <w:rPr>
          <w:bCs/>
        </w:rPr>
        <w:t xml:space="preserve">e investigation into the </w:t>
      </w:r>
      <w:r w:rsidR="009C5278" w:rsidRPr="00850658">
        <w:rPr>
          <w:bCs/>
        </w:rPr>
        <w:t>abduction</w:t>
      </w:r>
      <w:r w:rsidR="00FC30AF" w:rsidRPr="00850658">
        <w:rPr>
          <w:bCs/>
        </w:rPr>
        <w:t xml:space="preserve"> </w:t>
      </w:r>
      <w:r w:rsidR="0045100B" w:rsidRPr="00850658">
        <w:rPr>
          <w:bCs/>
        </w:rPr>
        <w:t xml:space="preserve">and disappearance </w:t>
      </w:r>
      <w:r w:rsidRPr="00850658">
        <w:rPr>
          <w:bCs/>
        </w:rPr>
        <w:t xml:space="preserve">of </w:t>
      </w:r>
      <w:r w:rsidR="00FC30AF" w:rsidRPr="00850658">
        <w:t xml:space="preserve">Mr </w:t>
      </w:r>
      <w:r w:rsidR="00993121" w:rsidRPr="00850658">
        <w:t>Jovan Jovanović</w:t>
      </w:r>
      <w:r w:rsidRPr="00850658">
        <w:t>.</w:t>
      </w:r>
    </w:p>
    <w:p w14:paraId="2FEAB0A6" w14:textId="77777777" w:rsidR="003E3F85" w:rsidRPr="00850658" w:rsidRDefault="003E3F85" w:rsidP="003E3F85">
      <w:pPr>
        <w:pStyle w:val="ListParagraph"/>
        <w:autoSpaceDE w:val="0"/>
        <w:ind w:left="360"/>
        <w:jc w:val="both"/>
      </w:pPr>
    </w:p>
    <w:p w14:paraId="5987AC2A" w14:textId="77777777" w:rsidR="003E3F85" w:rsidRPr="00850658" w:rsidRDefault="003E3F85" w:rsidP="003E3F85">
      <w:pPr>
        <w:pStyle w:val="ListParagraph"/>
        <w:numPr>
          <w:ilvl w:val="0"/>
          <w:numId w:val="7"/>
        </w:numPr>
        <w:contextualSpacing/>
        <w:jc w:val="both"/>
        <w:rPr>
          <w:i/>
        </w:rPr>
      </w:pPr>
      <w:r w:rsidRPr="00850658">
        <w:rPr>
          <w:i/>
        </w:rPr>
        <w:t>Submission of relevant files</w:t>
      </w:r>
    </w:p>
    <w:p w14:paraId="44E4BB9F" w14:textId="77777777" w:rsidR="003E3F85" w:rsidRPr="00850658" w:rsidRDefault="003E3F85" w:rsidP="003E3F85">
      <w:pPr>
        <w:pStyle w:val="ListParagraph"/>
        <w:autoSpaceDE w:val="0"/>
        <w:ind w:left="450"/>
        <w:jc w:val="both"/>
      </w:pPr>
      <w:bookmarkStart w:id="61" w:name="_Ref354590617"/>
    </w:p>
    <w:p w14:paraId="15FE9FFA" w14:textId="47D049AC" w:rsidR="003E3F85" w:rsidRPr="00850658" w:rsidRDefault="003E3F85" w:rsidP="003E3F85">
      <w:pPr>
        <w:numPr>
          <w:ilvl w:val="0"/>
          <w:numId w:val="2"/>
        </w:numPr>
        <w:tabs>
          <w:tab w:val="left" w:pos="709"/>
        </w:tabs>
        <w:suppressAutoHyphens/>
        <w:autoSpaceDE w:val="0"/>
        <w:jc w:val="both"/>
      </w:pPr>
      <w:r w:rsidRPr="00850658">
        <w:t xml:space="preserve">At the Panel’s request, </w:t>
      </w:r>
      <w:r w:rsidR="00AD7F08" w:rsidRPr="00850658">
        <w:t xml:space="preserve">the </w:t>
      </w:r>
      <w:r w:rsidR="00AD7F08" w:rsidRPr="00850658">
        <w:rPr>
          <w:bCs/>
        </w:rPr>
        <w:t>SRSG</w:t>
      </w:r>
      <w:r w:rsidR="00AD7F08" w:rsidRPr="00850658">
        <w:t xml:space="preserve"> provided copies of the documents </w:t>
      </w:r>
      <w:r w:rsidR="00AD7F08" w:rsidRPr="00850658">
        <w:rPr>
          <w:bCs/>
        </w:rPr>
        <w:t>related</w:t>
      </w:r>
      <w:r w:rsidR="0002369B" w:rsidRPr="00850658">
        <w:t xml:space="preserve"> to the investigation</w:t>
      </w:r>
      <w:r w:rsidR="00AD7F08" w:rsidRPr="00850658">
        <w:t xml:space="preserve"> s</w:t>
      </w:r>
      <w:r w:rsidR="0002369B" w:rsidRPr="00850658">
        <w:t>ubject of the present complaint</w:t>
      </w:r>
      <w:r w:rsidR="00AD7F08" w:rsidRPr="00850658">
        <w:t xml:space="preserve">, which UNMIK was able to recover, including some files which had been retrieved from the archives at the UN Headquarters in New York (see §§ </w:t>
      </w:r>
      <w:r w:rsidR="00AD7F08" w:rsidRPr="00850658">
        <w:fldChar w:fldCharType="begin"/>
      </w:r>
      <w:r w:rsidR="00AD7F08" w:rsidRPr="00850658">
        <w:instrText xml:space="preserve"> REF _Ref411948649 \r \h </w:instrText>
      </w:r>
      <w:r w:rsidR="009A0659" w:rsidRPr="00850658">
        <w:instrText xml:space="preserve"> \* MERGEFORMAT </w:instrText>
      </w:r>
      <w:r w:rsidR="00AD7F08" w:rsidRPr="00850658">
        <w:fldChar w:fldCharType="separate"/>
      </w:r>
      <w:r w:rsidR="004504C3">
        <w:t>6</w:t>
      </w:r>
      <w:r w:rsidR="00AD7F08" w:rsidRPr="00850658">
        <w:fldChar w:fldCharType="end"/>
      </w:r>
      <w:r w:rsidR="007D0DD0" w:rsidRPr="00850658">
        <w:t xml:space="preserve"> </w:t>
      </w:r>
      <w:r w:rsidR="00AD7F08" w:rsidRPr="00850658">
        <w:t>-</w:t>
      </w:r>
      <w:r w:rsidR="007D0DD0" w:rsidRPr="00850658">
        <w:t xml:space="preserve"> </w:t>
      </w:r>
      <w:r w:rsidR="00AD7F08" w:rsidRPr="00850658">
        <w:fldChar w:fldCharType="begin"/>
      </w:r>
      <w:r w:rsidR="00AD7F08" w:rsidRPr="00850658">
        <w:instrText xml:space="preserve"> REF _Ref411934181 \r \h </w:instrText>
      </w:r>
      <w:r w:rsidR="009A0659" w:rsidRPr="00850658">
        <w:instrText xml:space="preserve"> \* MERGEFORMAT </w:instrText>
      </w:r>
      <w:r w:rsidR="00AD7F08" w:rsidRPr="00850658">
        <w:fldChar w:fldCharType="separate"/>
      </w:r>
      <w:r w:rsidR="004504C3">
        <w:t>7</w:t>
      </w:r>
      <w:r w:rsidR="00AD7F08" w:rsidRPr="00850658">
        <w:fldChar w:fldCharType="end"/>
      </w:r>
      <w:r w:rsidR="00AD7F08" w:rsidRPr="00850658">
        <w:t xml:space="preserve"> above). </w:t>
      </w:r>
      <w:r w:rsidRPr="00850658">
        <w:t>The SRSG also noted that there is a possibility</w:t>
      </w:r>
      <w:r w:rsidR="0002369B" w:rsidRPr="00850658">
        <w:t xml:space="preserve"> that</w:t>
      </w:r>
      <w:r w:rsidRPr="00850658">
        <w:t xml:space="preserve"> more information, not contained in the presented documents, exists, but provided no further details. On </w:t>
      </w:r>
      <w:r w:rsidR="00006A7B" w:rsidRPr="00850658">
        <w:t xml:space="preserve">17 March </w:t>
      </w:r>
      <w:r w:rsidR="00AD7F08" w:rsidRPr="00850658">
        <w:t>2015</w:t>
      </w:r>
      <w:r w:rsidR="00B77C87" w:rsidRPr="00850658">
        <w:t xml:space="preserve">, </w:t>
      </w:r>
      <w:r w:rsidRPr="00850658">
        <w:t xml:space="preserve">UNMIK confirmed to the Panel that no more files have been located, thus the disclosure may be considered complete (see § </w:t>
      </w:r>
      <w:r w:rsidR="00AD7F08" w:rsidRPr="00850658">
        <w:fldChar w:fldCharType="begin"/>
      </w:r>
      <w:r w:rsidR="00AD7F08" w:rsidRPr="00850658">
        <w:instrText xml:space="preserve"> REF _Ref411948684 \r \h </w:instrText>
      </w:r>
      <w:r w:rsidR="009A0659" w:rsidRPr="00850658">
        <w:instrText xml:space="preserve"> \* MERGEFORMAT </w:instrText>
      </w:r>
      <w:r w:rsidR="00AD7F08" w:rsidRPr="00850658">
        <w:fldChar w:fldCharType="separate"/>
      </w:r>
      <w:r w:rsidR="004504C3">
        <w:t>9</w:t>
      </w:r>
      <w:r w:rsidR="00AD7F08" w:rsidRPr="00850658">
        <w:fldChar w:fldCharType="end"/>
      </w:r>
      <w:r w:rsidRPr="00850658">
        <w:t xml:space="preserve"> above).</w:t>
      </w:r>
      <w:bookmarkEnd w:id="61"/>
    </w:p>
    <w:p w14:paraId="644BEBCC" w14:textId="77777777" w:rsidR="003E3F85" w:rsidRPr="00850658" w:rsidRDefault="003E3F85" w:rsidP="003E3F85">
      <w:pPr>
        <w:suppressAutoHyphens/>
        <w:ind w:left="360"/>
        <w:jc w:val="both"/>
      </w:pPr>
    </w:p>
    <w:p w14:paraId="4FA1D0DE" w14:textId="77777777" w:rsidR="003E3F85" w:rsidRPr="00850658" w:rsidRDefault="003E3F85" w:rsidP="003E3F85">
      <w:pPr>
        <w:numPr>
          <w:ilvl w:val="0"/>
          <w:numId w:val="2"/>
        </w:numPr>
        <w:tabs>
          <w:tab w:val="left" w:pos="709"/>
        </w:tabs>
        <w:suppressAutoHyphens/>
        <w:autoSpaceDE w:val="0"/>
        <w:jc w:val="both"/>
      </w:pPr>
      <w:r w:rsidRPr="00850658">
        <w:t xml:space="preserve">The Panel notes that Section 15 of UNMIK Regulation No. 2006/12 states that the Panel may request the submission from UNMIK of any documents and that the SRSG shall cooperate with the Panel and </w:t>
      </w:r>
      <w:proofErr w:type="gramStart"/>
      <w:r w:rsidRPr="00850658">
        <w:t>provide</w:t>
      </w:r>
      <w:proofErr w:type="gramEnd"/>
      <w:r w:rsidRPr="00850658">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850658">
        <w:rPr>
          <w:i/>
        </w:rPr>
        <w:t>Çelikbilek v. Turkey</w:t>
      </w:r>
      <w:r w:rsidRPr="00850658">
        <w:t xml:space="preserve">, </w:t>
      </w:r>
      <w:r w:rsidRPr="00850658">
        <w:rPr>
          <w:lang w:eastAsia="nl-BE"/>
        </w:rPr>
        <w:t>no. 27693/95, judgment of 31 May 2005</w:t>
      </w:r>
      <w:r w:rsidRPr="00850658">
        <w:rPr>
          <w:i/>
          <w:iCs/>
          <w:lang w:eastAsia="nl-BE"/>
        </w:rPr>
        <w:t>,</w:t>
      </w:r>
      <w:r w:rsidRPr="00850658">
        <w:rPr>
          <w:iCs/>
          <w:lang w:eastAsia="nl-BE"/>
        </w:rPr>
        <w:t xml:space="preserve"> § 56).</w:t>
      </w:r>
      <w:r w:rsidRPr="00850658">
        <w:rPr>
          <w:rFonts w:ascii="Helv" w:hAnsi="Helv" w:cs="Helv"/>
          <w:sz w:val="20"/>
          <w:szCs w:val="20"/>
          <w:lang w:eastAsia="nl-BE"/>
        </w:rPr>
        <w:t xml:space="preserve"> </w:t>
      </w:r>
    </w:p>
    <w:p w14:paraId="0DD6B3BC" w14:textId="77777777" w:rsidR="003E3F85" w:rsidRPr="00850658" w:rsidRDefault="003E3F85" w:rsidP="003E3F85">
      <w:pPr>
        <w:pStyle w:val="ListParagraph"/>
      </w:pPr>
    </w:p>
    <w:p w14:paraId="00B9FA09" w14:textId="0747BCFB" w:rsidR="009923E7" w:rsidRPr="00850658" w:rsidRDefault="003E3F85" w:rsidP="007D0DD0">
      <w:pPr>
        <w:pStyle w:val="ListParagraph"/>
        <w:numPr>
          <w:ilvl w:val="0"/>
          <w:numId w:val="2"/>
        </w:numPr>
        <w:jc w:val="both"/>
        <w:rPr>
          <w:lang w:eastAsia="en-US"/>
        </w:rPr>
      </w:pPr>
      <w:bookmarkStart w:id="62" w:name="_Ref409786758"/>
      <w:r w:rsidRPr="00850658">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850658">
        <w:rPr>
          <w:i/>
        </w:rPr>
        <w:t>per se</w:t>
      </w:r>
      <w:r w:rsidR="009923E7" w:rsidRPr="00850658">
        <w:t xml:space="preserve"> issues under Article 2 </w:t>
      </w:r>
      <w:r w:rsidR="009923E7" w:rsidRPr="00850658">
        <w:rPr>
          <w:lang w:eastAsia="en-US"/>
        </w:rPr>
        <w:t xml:space="preserve">(see </w:t>
      </w:r>
      <w:hyperlink r:id="rId11" w:history="1">
        <w:r w:rsidR="009923E7" w:rsidRPr="00850658">
          <w:rPr>
            <w:rStyle w:val="Hyperlink"/>
            <w:color w:val="auto"/>
            <w:u w:val="none"/>
            <w:lang w:eastAsia="en-US"/>
          </w:rPr>
          <w:t xml:space="preserve">HRAP, </w:t>
        </w:r>
        <w:r w:rsidR="009923E7" w:rsidRPr="00850658">
          <w:rPr>
            <w:rStyle w:val="Hyperlink"/>
            <w:i/>
            <w:color w:val="auto"/>
            <w:u w:val="none"/>
            <w:lang w:eastAsia="en-US"/>
          </w:rPr>
          <w:t>Bulatović</w:t>
        </w:r>
        <w:r w:rsidR="009923E7" w:rsidRPr="00850658">
          <w:rPr>
            <w:rStyle w:val="Hyperlink"/>
            <w:color w:val="auto"/>
            <w:u w:val="none"/>
            <w:lang w:eastAsia="en-US"/>
          </w:rPr>
          <w:t>, no. 166/09, opinion of 13 November 2014</w:t>
        </w:r>
      </w:hyperlink>
      <w:r w:rsidR="009923E7" w:rsidRPr="00850658">
        <w:rPr>
          <w:lang w:eastAsia="en-US"/>
        </w:rPr>
        <w:t>, § 62).</w:t>
      </w:r>
      <w:bookmarkEnd w:id="62"/>
    </w:p>
    <w:p w14:paraId="79B9CA5D" w14:textId="77777777" w:rsidR="003E3F85" w:rsidRPr="00850658" w:rsidRDefault="003E3F85" w:rsidP="00AD7F08">
      <w:pPr>
        <w:rPr>
          <w:b/>
        </w:rPr>
      </w:pPr>
    </w:p>
    <w:p w14:paraId="67953A3C" w14:textId="77777777" w:rsidR="003E3F85" w:rsidRPr="00850658" w:rsidRDefault="003E3F85" w:rsidP="003E3F85">
      <w:pPr>
        <w:numPr>
          <w:ilvl w:val="0"/>
          <w:numId w:val="2"/>
        </w:numPr>
        <w:tabs>
          <w:tab w:val="left" w:pos="709"/>
        </w:tabs>
        <w:suppressAutoHyphens/>
        <w:autoSpaceDE w:val="0"/>
        <w:jc w:val="both"/>
        <w:rPr>
          <w:b/>
        </w:rPr>
      </w:pPr>
      <w:bookmarkStart w:id="63" w:name="_Ref373945461"/>
      <w:r w:rsidRPr="00850658">
        <w:t>The Panel has no reason to doubt that UNMIK undertook all efforts in order to obtain the relevant investigative files. However, the Panel notes that UNMIK has not provided any explanation as to why the documentation may be incomplete, nor with respect to which parts.</w:t>
      </w:r>
      <w:bookmarkEnd w:id="63"/>
    </w:p>
    <w:p w14:paraId="62E7FD1E" w14:textId="77777777" w:rsidR="003E3F85" w:rsidRPr="00850658" w:rsidRDefault="003E3F85" w:rsidP="003E3F85">
      <w:pPr>
        <w:pStyle w:val="ListParagraph"/>
      </w:pPr>
    </w:p>
    <w:p w14:paraId="78E64242" w14:textId="77777777" w:rsidR="003E3F85" w:rsidRPr="00850658" w:rsidRDefault="003E3F85" w:rsidP="003E3F85">
      <w:pPr>
        <w:numPr>
          <w:ilvl w:val="0"/>
          <w:numId w:val="2"/>
        </w:numPr>
        <w:tabs>
          <w:tab w:val="left" w:pos="709"/>
        </w:tabs>
        <w:suppressAutoHyphens/>
        <w:autoSpaceDE w:val="0"/>
        <w:jc w:val="both"/>
      </w:pPr>
      <w:r w:rsidRPr="00850658">
        <w:t>The Panel itself is not in the position to verify the completeness of the investigative files received.</w:t>
      </w:r>
      <w:r w:rsidR="002E1F96" w:rsidRPr="00850658">
        <w:t xml:space="preserve"> </w:t>
      </w:r>
      <w:r w:rsidRPr="00850658">
        <w:t xml:space="preserve">The Panel will therefore assess the merits of the complaint on the basis of documents made available (in this sense, see ECtHR, </w:t>
      </w:r>
      <w:r w:rsidRPr="00850658">
        <w:rPr>
          <w:i/>
        </w:rPr>
        <w:t>Tsechoyev v. Russia</w:t>
      </w:r>
      <w:r w:rsidRPr="00850658">
        <w:t>, no. 39358/05, judgment of</w:t>
      </w:r>
      <w:r w:rsidRPr="00850658">
        <w:rPr>
          <w:i/>
        </w:rPr>
        <w:t xml:space="preserve"> </w:t>
      </w:r>
      <w:r w:rsidRPr="00850658">
        <w:t xml:space="preserve">15 March 2011, § 146).  </w:t>
      </w:r>
      <w:bookmarkStart w:id="64" w:name="_Ref366241114"/>
    </w:p>
    <w:p w14:paraId="3488E06E" w14:textId="77777777" w:rsidR="003E3F85" w:rsidRPr="00850658" w:rsidRDefault="003E3F85" w:rsidP="003E3F85">
      <w:pPr>
        <w:pStyle w:val="ListParagraph"/>
      </w:pPr>
    </w:p>
    <w:p w14:paraId="02169895" w14:textId="77777777" w:rsidR="003E3F85" w:rsidRPr="00850658" w:rsidRDefault="003E3F85" w:rsidP="003E3F85">
      <w:pPr>
        <w:pStyle w:val="ListParagraph"/>
        <w:numPr>
          <w:ilvl w:val="0"/>
          <w:numId w:val="7"/>
        </w:numPr>
        <w:contextualSpacing/>
        <w:jc w:val="both"/>
        <w:rPr>
          <w:i/>
        </w:rPr>
      </w:pPr>
      <w:r w:rsidRPr="00850658">
        <w:rPr>
          <w:i/>
          <w:lang w:eastAsia="en-US"/>
        </w:rPr>
        <w:t>General</w:t>
      </w:r>
      <w:r w:rsidRPr="00850658">
        <w:rPr>
          <w:i/>
        </w:rPr>
        <w:t xml:space="preserve"> principles concerning the obligation to conduct an effective investigation under Article 2</w:t>
      </w:r>
    </w:p>
    <w:p w14:paraId="37E83D95" w14:textId="77777777" w:rsidR="007D0DD0" w:rsidRPr="00850658" w:rsidRDefault="007D0DD0" w:rsidP="004F45E5">
      <w:pPr>
        <w:jc w:val="both"/>
      </w:pPr>
    </w:p>
    <w:p w14:paraId="638F5279" w14:textId="77777777" w:rsidR="003E3F85" w:rsidRPr="00850658" w:rsidRDefault="00FC30AF" w:rsidP="003E3F85">
      <w:pPr>
        <w:numPr>
          <w:ilvl w:val="0"/>
          <w:numId w:val="2"/>
        </w:numPr>
        <w:tabs>
          <w:tab w:val="left" w:pos="709"/>
        </w:tabs>
        <w:suppressAutoHyphens/>
        <w:autoSpaceDE w:val="0"/>
        <w:jc w:val="both"/>
      </w:pPr>
      <w:bookmarkStart w:id="65" w:name="_Ref409081615"/>
      <w:r w:rsidRPr="00850658">
        <w:t xml:space="preserve">The Panel notes that the positive obligation to investigate disappearances is widely accepted in international human rights law since at least the case of the Inter-American Court of Human Rights </w:t>
      </w:r>
      <w:r w:rsidRPr="00850658">
        <w:rPr>
          <w:i/>
        </w:rPr>
        <w:t xml:space="preserve">Velásquez-Rodríguez </w:t>
      </w:r>
      <w:r w:rsidRPr="00850658">
        <w:t xml:space="preserve">(see Inter-American Court of Human Rights (IACtHR), </w:t>
      </w:r>
      <w:r w:rsidRPr="00850658">
        <w:rPr>
          <w:i/>
        </w:rPr>
        <w:t>Velásquez-Rodríguez v. Honduras</w:t>
      </w:r>
      <w:r w:rsidRPr="00850658">
        <w:t xml:space="preserve">, judgment of 29 July 1988, </w:t>
      </w:r>
      <w:proofErr w:type="gramStart"/>
      <w:r w:rsidRPr="00850658">
        <w:t>Series</w:t>
      </w:r>
      <w:proofErr w:type="gramEnd"/>
      <w:r w:rsidRPr="00850658">
        <w:t xml:space="preserve"> C No. 4). </w:t>
      </w:r>
      <w:r w:rsidR="00273478" w:rsidRPr="00850658">
        <w:t>T</w:t>
      </w:r>
      <w:r w:rsidR="003E3F85" w:rsidRPr="00850658">
        <w:t xml:space="preserve">he Panel </w:t>
      </w:r>
      <w:r w:rsidRPr="00850658">
        <w:t xml:space="preserve">also </w:t>
      </w:r>
      <w:r w:rsidR="003E3F85" w:rsidRPr="00850658">
        <w:t xml:space="preserve">notes that the positive obligation to investigate has been stated by the </w:t>
      </w:r>
      <w:r w:rsidR="00423598" w:rsidRPr="00850658">
        <w:t>HRC</w:t>
      </w:r>
      <w:r w:rsidR="003E3F85" w:rsidRPr="00850658">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850658">
        <w:rPr>
          <w:i/>
        </w:rPr>
        <w:t>Mohamed El Awani, v. Libyan Arab Jamahiriya</w:t>
      </w:r>
      <w:r w:rsidR="003E3F85" w:rsidRPr="00850658">
        <w:t>, communication no. 1295/2004, views of 11 July 2007, CCPR/C/90/D/1295/2004). The obligation to investigate disappearances and killings is also asserted in the UN Declaration on the Protection of all Persons from Enforced Disappearances (UN Document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64"/>
      <w:bookmarkEnd w:id="65"/>
      <w:r w:rsidR="003E3F85" w:rsidRPr="00850658">
        <w:t xml:space="preserve">   </w:t>
      </w:r>
      <w:bookmarkStart w:id="66" w:name="_Ref347561805"/>
    </w:p>
    <w:p w14:paraId="0C5BD888" w14:textId="77777777" w:rsidR="003E3F85" w:rsidRPr="00850658" w:rsidRDefault="003E3F85" w:rsidP="003E3F85">
      <w:pPr>
        <w:pStyle w:val="ListParagraph"/>
        <w:suppressAutoHyphens w:val="0"/>
        <w:ind w:left="360"/>
        <w:contextualSpacing/>
        <w:jc w:val="both"/>
        <w:rPr>
          <w:lang w:eastAsia="en-US"/>
        </w:rPr>
      </w:pPr>
    </w:p>
    <w:p w14:paraId="3A8E9473" w14:textId="77777777" w:rsidR="003E3F85" w:rsidRPr="00850658" w:rsidRDefault="003E3F85" w:rsidP="003E3F85">
      <w:pPr>
        <w:numPr>
          <w:ilvl w:val="0"/>
          <w:numId w:val="2"/>
        </w:numPr>
        <w:tabs>
          <w:tab w:val="left" w:pos="709"/>
        </w:tabs>
        <w:suppressAutoHyphens/>
        <w:autoSpaceDE w:val="0"/>
        <w:jc w:val="both"/>
      </w:pPr>
      <w:bookmarkStart w:id="67" w:name="_Ref366239860"/>
      <w:r w:rsidRPr="00850658">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850658">
        <w:rPr>
          <w:i/>
        </w:rPr>
        <w:t>mutatis mutandis</w:t>
      </w:r>
      <w:r w:rsidRPr="00850658">
        <w:t xml:space="preserve">, ECtHR, </w:t>
      </w:r>
      <w:r w:rsidRPr="00850658">
        <w:rPr>
          <w:i/>
        </w:rPr>
        <w:t>McCann and Others v. the United Kingdom</w:t>
      </w:r>
      <w:r w:rsidRPr="00850658">
        <w:t xml:space="preserve">, judgment of 27 September 1995, § 161, Series A no. 324; and ECtHR, </w:t>
      </w:r>
      <w:r w:rsidRPr="00850658">
        <w:rPr>
          <w:i/>
        </w:rPr>
        <w:t>Kaya v. Turkey</w:t>
      </w:r>
      <w:r w:rsidRPr="00850658">
        <w:t xml:space="preserve">, judgment of 19 February 1998, § 86, Reports 1998-I; see also ECtHR, </w:t>
      </w:r>
      <w:r w:rsidRPr="00850658">
        <w:rPr>
          <w:i/>
        </w:rPr>
        <w:t>Jasinskis v. Latvia</w:t>
      </w:r>
      <w:r w:rsidRPr="00850658">
        <w:t xml:space="preserve">, no. 45744/08, judgment of 21 December 2010, § 71). The duty to conduct such an investigation arises in all cases of killing and other suspicious death, whether the perpetrators were private persons or State agents or are unknown (see ECtHR, </w:t>
      </w:r>
      <w:r w:rsidRPr="00850658">
        <w:rPr>
          <w:i/>
        </w:rPr>
        <w:t>Kolevi v. Bulgaria</w:t>
      </w:r>
      <w:r w:rsidRPr="00850658">
        <w:t>, no. 1108/02, judgment of 5 November 2009, § 191).</w:t>
      </w:r>
      <w:bookmarkEnd w:id="66"/>
      <w:bookmarkEnd w:id="67"/>
    </w:p>
    <w:p w14:paraId="0AE1DEB7" w14:textId="77777777" w:rsidR="003E3F85" w:rsidRPr="00850658" w:rsidRDefault="003E3F85" w:rsidP="003E3F85">
      <w:pPr>
        <w:pStyle w:val="ListParagraph"/>
        <w:tabs>
          <w:tab w:val="num" w:pos="567"/>
        </w:tabs>
        <w:suppressAutoHyphens w:val="0"/>
        <w:ind w:left="567" w:hanging="425"/>
        <w:contextualSpacing/>
        <w:jc w:val="both"/>
      </w:pPr>
    </w:p>
    <w:p w14:paraId="1629CB47" w14:textId="77777777" w:rsidR="003E3F85" w:rsidRPr="00850658" w:rsidRDefault="003E3F85" w:rsidP="003E3F85">
      <w:pPr>
        <w:numPr>
          <w:ilvl w:val="0"/>
          <w:numId w:val="2"/>
        </w:numPr>
        <w:tabs>
          <w:tab w:val="left" w:pos="709"/>
        </w:tabs>
        <w:suppressAutoHyphens/>
        <w:autoSpaceDE w:val="0"/>
        <w:jc w:val="both"/>
      </w:pPr>
      <w:bookmarkStart w:id="68" w:name="_Ref401245061"/>
      <w:r w:rsidRPr="00850658">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850658">
        <w:rPr>
          <w:i/>
        </w:rPr>
        <w:t>Varnava and Others v. Turkey</w:t>
      </w:r>
      <w:r w:rsidRPr="00850658">
        <w:t xml:space="preserve">, cited in § </w:t>
      </w:r>
      <w:r w:rsidRPr="00850658">
        <w:fldChar w:fldCharType="begin"/>
      </w:r>
      <w:r w:rsidRPr="00850658">
        <w:instrText xml:space="preserve"> REF _Ref346123885 \r \h  \* MERGEFORMAT </w:instrText>
      </w:r>
      <w:r w:rsidRPr="00850658">
        <w:fldChar w:fldCharType="separate"/>
      </w:r>
      <w:r w:rsidR="004504C3">
        <w:t>48</w:t>
      </w:r>
      <w:r w:rsidRPr="00850658">
        <w:fldChar w:fldCharType="end"/>
      </w:r>
      <w:r w:rsidRPr="00850658">
        <w:t xml:space="preserve"> above, at § 136</w:t>
      </w:r>
      <w:r w:rsidR="00423598" w:rsidRPr="00850658">
        <w:t>,</w:t>
      </w:r>
      <w:r w:rsidR="00423598" w:rsidRPr="00850658">
        <w:rPr>
          <w:i/>
          <w:iCs/>
        </w:rPr>
        <w:t xml:space="preserve"> </w:t>
      </w:r>
      <w:r w:rsidR="00423598" w:rsidRPr="00850658">
        <w:t xml:space="preserve">ECtHR [GC], </w:t>
      </w:r>
      <w:r w:rsidR="00423598" w:rsidRPr="00850658">
        <w:rPr>
          <w:i/>
          <w:iCs/>
        </w:rPr>
        <w:t>Mocanu and Others v. Romania</w:t>
      </w:r>
      <w:r w:rsidR="00423598" w:rsidRPr="00850658">
        <w:t>, nos 10865/09, 45886/07 and 32431/08, judgment of 17 September 2014, § 317).</w:t>
      </w:r>
      <w:bookmarkEnd w:id="68"/>
    </w:p>
    <w:p w14:paraId="5C68307E" w14:textId="77777777" w:rsidR="003E3F85" w:rsidRPr="00850658" w:rsidRDefault="003E3F85" w:rsidP="003E3F85">
      <w:pPr>
        <w:pStyle w:val="ListParagraph"/>
        <w:tabs>
          <w:tab w:val="num" w:pos="567"/>
        </w:tabs>
        <w:suppressAutoHyphens w:val="0"/>
        <w:ind w:left="567" w:hanging="425"/>
        <w:contextualSpacing/>
        <w:jc w:val="both"/>
      </w:pPr>
    </w:p>
    <w:p w14:paraId="2419397A" w14:textId="77777777" w:rsidR="003E3F85" w:rsidRPr="00850658" w:rsidRDefault="003E3F85" w:rsidP="00423598">
      <w:pPr>
        <w:pStyle w:val="ListParagraph"/>
        <w:numPr>
          <w:ilvl w:val="0"/>
          <w:numId w:val="2"/>
        </w:numPr>
        <w:jc w:val="both"/>
        <w:rPr>
          <w:lang w:eastAsia="en-US"/>
        </w:rPr>
      </w:pPr>
      <w:bookmarkStart w:id="69" w:name="_Ref366240125"/>
      <w:r w:rsidRPr="00850658">
        <w:lastRenderedPageBreak/>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850658">
        <w:rPr>
          <w:i/>
        </w:rPr>
        <w:t>Ahmet Özkan and Others v. Turkey</w:t>
      </w:r>
      <w:r w:rsidRPr="00850658">
        <w:t xml:space="preserve">, no. 21689/93, judgment of 6 April 2004, § 310, see also ECtHR, </w:t>
      </w:r>
      <w:r w:rsidRPr="00850658">
        <w:rPr>
          <w:i/>
        </w:rPr>
        <w:t>Isayeva v. Russia</w:t>
      </w:r>
      <w:r w:rsidRPr="00850658">
        <w:t>, no. 57950/00, judg</w:t>
      </w:r>
      <w:r w:rsidR="00423598" w:rsidRPr="00850658">
        <w:t>ment of 24 February 2005, § 210,</w:t>
      </w:r>
      <w:r w:rsidR="00423598" w:rsidRPr="00850658">
        <w:rPr>
          <w:lang w:eastAsia="en-US"/>
        </w:rPr>
        <w:t xml:space="preserve"> ECtHR [GC], </w:t>
      </w:r>
      <w:r w:rsidR="00423598" w:rsidRPr="00850658">
        <w:rPr>
          <w:i/>
          <w:lang w:eastAsia="en-US"/>
        </w:rPr>
        <w:t>Mocanu and Others v. Romania</w:t>
      </w:r>
      <w:r w:rsidR="00423598" w:rsidRPr="00850658">
        <w:rPr>
          <w:lang w:eastAsia="en-US"/>
        </w:rPr>
        <w:t>, cited above, § 321).</w:t>
      </w:r>
      <w:bookmarkStart w:id="70" w:name="_Ref346724174"/>
      <w:bookmarkEnd w:id="69"/>
    </w:p>
    <w:p w14:paraId="76BEBFC7" w14:textId="77777777" w:rsidR="003E3F85" w:rsidRPr="00850658" w:rsidRDefault="003E3F85" w:rsidP="003E3F85">
      <w:pPr>
        <w:pStyle w:val="ListParagraph"/>
        <w:tabs>
          <w:tab w:val="num" w:pos="567"/>
        </w:tabs>
        <w:ind w:left="567" w:hanging="425"/>
      </w:pPr>
    </w:p>
    <w:p w14:paraId="0ED039EB" w14:textId="77777777" w:rsidR="003E3F85" w:rsidRPr="00850658" w:rsidRDefault="003E3F85" w:rsidP="003E3F85">
      <w:pPr>
        <w:numPr>
          <w:ilvl w:val="0"/>
          <w:numId w:val="2"/>
        </w:numPr>
        <w:tabs>
          <w:tab w:val="left" w:pos="709"/>
        </w:tabs>
        <w:suppressAutoHyphens/>
        <w:autoSpaceDE w:val="0"/>
        <w:jc w:val="both"/>
      </w:pPr>
      <w:bookmarkStart w:id="71" w:name="_Ref366239979"/>
      <w:r w:rsidRPr="00850658">
        <w:t>Setting out the standards of an effective investigat</w:t>
      </w:r>
      <w:r w:rsidR="00CD6EFB" w:rsidRPr="00850658">
        <w:t xml:space="preserve">ion, the Court has stated that </w:t>
      </w:r>
      <w:r w:rsidRPr="00850658">
        <w:t xml:space="preserve">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w:t>
      </w:r>
      <w:r w:rsidR="00CD6EFB" w:rsidRPr="00850658">
        <w:t>punishment of those responsible</w:t>
      </w:r>
      <w:r w:rsidRPr="00850658">
        <w:t xml:space="preserve"> (see ECtHR [GC], </w:t>
      </w:r>
      <w:r w:rsidRPr="00850658">
        <w:rPr>
          <w:i/>
        </w:rPr>
        <w:t xml:space="preserve">Varnava and Others v. </w:t>
      </w:r>
      <w:r w:rsidRPr="00850658">
        <w:t xml:space="preserve">Turkey, cited in § </w:t>
      </w:r>
      <w:r w:rsidRPr="00850658">
        <w:fldChar w:fldCharType="begin"/>
      </w:r>
      <w:r w:rsidRPr="00850658">
        <w:instrText xml:space="preserve"> REF _Ref346123885 \r \h  \* MERGEFORMAT </w:instrText>
      </w:r>
      <w:r w:rsidRPr="00850658">
        <w:fldChar w:fldCharType="separate"/>
      </w:r>
      <w:r w:rsidR="004504C3">
        <w:t>48</w:t>
      </w:r>
      <w:r w:rsidRPr="00850658">
        <w:fldChar w:fldCharType="end"/>
      </w:r>
      <w:r w:rsidRPr="00850658">
        <w:t xml:space="preserve"> above, at § 191; see also ECtHR, </w:t>
      </w:r>
      <w:r w:rsidRPr="00850658">
        <w:rPr>
          <w:i/>
        </w:rPr>
        <w:t>Palić v. Bosnia and Herzegovina</w:t>
      </w:r>
      <w:r w:rsidRPr="00850658">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850658">
        <w:rPr>
          <w:i/>
        </w:rPr>
        <w:t>Ahmet Özkan and Others v. Turkey</w:t>
      </w:r>
      <w:r w:rsidRPr="00850658">
        <w:t>, cited above, at § 312, and ECtHR,</w:t>
      </w:r>
      <w:r w:rsidRPr="00850658">
        <w:rPr>
          <w:i/>
        </w:rPr>
        <w:t xml:space="preserve"> Isayeva v. Russia</w:t>
      </w:r>
      <w:r w:rsidRPr="00850658">
        <w:t>, cited above, at § 212).</w:t>
      </w:r>
      <w:bookmarkEnd w:id="70"/>
      <w:bookmarkEnd w:id="71"/>
      <w:r w:rsidRPr="00850658">
        <w:t xml:space="preserve"> </w:t>
      </w:r>
    </w:p>
    <w:p w14:paraId="654AB354" w14:textId="77777777" w:rsidR="003E3F85" w:rsidRPr="00850658" w:rsidRDefault="003E3F85" w:rsidP="003E3F85">
      <w:pPr>
        <w:pStyle w:val="ListParagraph"/>
        <w:suppressAutoHyphens w:val="0"/>
        <w:ind w:left="360"/>
        <w:contextualSpacing/>
        <w:jc w:val="both"/>
        <w:rPr>
          <w:lang w:eastAsia="en-US"/>
        </w:rPr>
      </w:pPr>
    </w:p>
    <w:p w14:paraId="7DCE77E0" w14:textId="0F0C222C" w:rsidR="00423598" w:rsidRPr="00850658" w:rsidRDefault="003E3F85" w:rsidP="00423598">
      <w:pPr>
        <w:pStyle w:val="ListParagraph"/>
        <w:numPr>
          <w:ilvl w:val="0"/>
          <w:numId w:val="2"/>
        </w:numPr>
        <w:jc w:val="both"/>
        <w:rPr>
          <w:lang w:eastAsia="en-US"/>
        </w:rPr>
      </w:pPr>
      <w:bookmarkStart w:id="72" w:name="_Ref373832219"/>
      <w:bookmarkStart w:id="73" w:name="_Ref401245516"/>
      <w:r w:rsidRPr="00850658">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850658">
        <w:rPr>
          <w:i/>
        </w:rPr>
        <w:t>Kolevi v. Bulgaria</w:t>
      </w:r>
      <w:r w:rsidRPr="00850658">
        <w:t xml:space="preserve">, cited in § </w:t>
      </w:r>
      <w:r w:rsidRPr="00850658">
        <w:fldChar w:fldCharType="begin"/>
      </w:r>
      <w:r w:rsidRPr="00850658">
        <w:instrText xml:space="preserve"> REF _Ref366239860 \r \h  \* MERGEFORMAT </w:instrText>
      </w:r>
      <w:r w:rsidRPr="00850658">
        <w:fldChar w:fldCharType="separate"/>
      </w:r>
      <w:r w:rsidR="004504C3">
        <w:t>72</w:t>
      </w:r>
      <w:r w:rsidRPr="00850658">
        <w:fldChar w:fldCharType="end"/>
      </w:r>
      <w:r w:rsidR="00006A7B" w:rsidRPr="00850658">
        <w:t xml:space="preserve"> above</w:t>
      </w:r>
      <w:r w:rsidRPr="00850658">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72"/>
      <w:r w:rsidR="00423598" w:rsidRPr="00850658">
        <w:t xml:space="preserve"> (see ECtHR, </w:t>
      </w:r>
      <w:r w:rsidR="00423598" w:rsidRPr="00850658">
        <w:rPr>
          <w:i/>
        </w:rPr>
        <w:t>Velcea and Mazăre v. Romania</w:t>
      </w:r>
      <w:r w:rsidR="00423598" w:rsidRPr="00850658">
        <w:t xml:space="preserve">, no. 64301/01, judgment of 1 December 2009, § 105). At the same time, </w:t>
      </w:r>
      <w:r w:rsidR="00423598" w:rsidRPr="00850658">
        <w:rPr>
          <w:rStyle w:val="sb8d990e2"/>
        </w:rPr>
        <w:t xml:space="preserve">the authorities must always make a serious attempt to find out what happened and should not rely on hasty or ill-founded conclusions to close their investigation </w:t>
      </w:r>
      <w:r w:rsidR="00423598" w:rsidRPr="00850658">
        <w:rPr>
          <w:lang w:eastAsia="en-US"/>
        </w:rPr>
        <w:t xml:space="preserve">(see ECtHR [GC], </w:t>
      </w:r>
      <w:r w:rsidR="00423598" w:rsidRPr="00850658">
        <w:rPr>
          <w:i/>
          <w:lang w:eastAsia="en-US"/>
        </w:rPr>
        <w:t xml:space="preserve">El-Masri </w:t>
      </w:r>
      <w:r w:rsidR="00596544" w:rsidRPr="00850658">
        <w:rPr>
          <w:i/>
          <w:lang w:eastAsia="en-US"/>
        </w:rPr>
        <w:t>v. “The f</w:t>
      </w:r>
      <w:r w:rsidR="00423598" w:rsidRPr="00850658">
        <w:rPr>
          <w:i/>
          <w:lang w:eastAsia="en-US"/>
        </w:rPr>
        <w:t>ormer Yugoslav Republic of Macedonia”</w:t>
      </w:r>
      <w:r w:rsidR="00423598" w:rsidRPr="00850658">
        <w:rPr>
          <w:lang w:eastAsia="en-US"/>
        </w:rPr>
        <w:t xml:space="preserve">, no. 39630/09, judgment of 13 December 2012, § 183; ECtHR [GC], </w:t>
      </w:r>
      <w:r w:rsidR="00423598" w:rsidRPr="00850658">
        <w:rPr>
          <w:i/>
          <w:lang w:eastAsia="en-US"/>
        </w:rPr>
        <w:t>Mocanu and Others v. Romania</w:t>
      </w:r>
      <w:r w:rsidR="00423598" w:rsidRPr="00850658">
        <w:rPr>
          <w:lang w:eastAsia="en-US"/>
        </w:rPr>
        <w:t xml:space="preserve">, cited in § </w:t>
      </w:r>
      <w:r w:rsidR="00423598" w:rsidRPr="00850658">
        <w:rPr>
          <w:lang w:eastAsia="en-US"/>
        </w:rPr>
        <w:fldChar w:fldCharType="begin"/>
      </w:r>
      <w:r w:rsidR="00423598" w:rsidRPr="00850658">
        <w:rPr>
          <w:lang w:eastAsia="en-US"/>
        </w:rPr>
        <w:instrText xml:space="preserve"> REF _Ref401245061 \r \h </w:instrText>
      </w:r>
      <w:r w:rsidR="00393E7A" w:rsidRPr="00850658">
        <w:rPr>
          <w:lang w:eastAsia="en-US"/>
        </w:rPr>
        <w:instrText xml:space="preserve"> \* MERGEFORMAT </w:instrText>
      </w:r>
      <w:r w:rsidR="00423598" w:rsidRPr="00850658">
        <w:rPr>
          <w:lang w:eastAsia="en-US"/>
        </w:rPr>
      </w:r>
      <w:r w:rsidR="00423598" w:rsidRPr="00850658">
        <w:rPr>
          <w:lang w:eastAsia="en-US"/>
        </w:rPr>
        <w:fldChar w:fldCharType="separate"/>
      </w:r>
      <w:r w:rsidR="004504C3">
        <w:rPr>
          <w:lang w:eastAsia="en-US"/>
        </w:rPr>
        <w:t>73</w:t>
      </w:r>
      <w:r w:rsidR="00423598" w:rsidRPr="00850658">
        <w:rPr>
          <w:lang w:eastAsia="en-US"/>
        </w:rPr>
        <w:fldChar w:fldCharType="end"/>
      </w:r>
      <w:r w:rsidR="00423598" w:rsidRPr="00850658">
        <w:rPr>
          <w:lang w:eastAsia="en-US"/>
        </w:rPr>
        <w:t xml:space="preserve"> above, at § 322).</w:t>
      </w:r>
      <w:bookmarkEnd w:id="73"/>
    </w:p>
    <w:p w14:paraId="74D9CED2" w14:textId="77777777" w:rsidR="003E3F85" w:rsidRPr="00850658" w:rsidRDefault="003E3F85" w:rsidP="00423598">
      <w:pPr>
        <w:tabs>
          <w:tab w:val="left" w:pos="709"/>
        </w:tabs>
        <w:suppressAutoHyphens/>
        <w:autoSpaceDE w:val="0"/>
        <w:ind w:left="360"/>
        <w:jc w:val="both"/>
      </w:pPr>
    </w:p>
    <w:p w14:paraId="62E057A1" w14:textId="77777777" w:rsidR="003E3F85" w:rsidRPr="00850658" w:rsidRDefault="003E3F85" w:rsidP="003E3F85">
      <w:pPr>
        <w:numPr>
          <w:ilvl w:val="0"/>
          <w:numId w:val="2"/>
        </w:numPr>
        <w:tabs>
          <w:tab w:val="left" w:pos="709"/>
        </w:tabs>
        <w:suppressAutoHyphens/>
        <w:autoSpaceDE w:val="0"/>
        <w:jc w:val="both"/>
      </w:pPr>
      <w:bookmarkStart w:id="74" w:name="_Ref404684740"/>
      <w:r w:rsidRPr="00850658">
        <w:rPr>
          <w:rStyle w:val="sb8d990e2"/>
        </w:rPr>
        <w:t xml:space="preserve">A requirement of promptness and reasonable expedition is implicit in this context. Even where there may be obstacles or difficulties which prevent progress in an </w:t>
      </w:r>
      <w:bookmarkStart w:id="75" w:name="HIT98"/>
      <w:bookmarkEnd w:id="75"/>
      <w:r w:rsidRPr="00850658">
        <w:rPr>
          <w:rStyle w:val="sb8d990e2"/>
        </w:rPr>
        <w:t xml:space="preserve">investigation in a particular situation, a </w:t>
      </w:r>
      <w:bookmarkStart w:id="76" w:name="HIT99"/>
      <w:bookmarkEnd w:id="76"/>
      <w:r w:rsidRPr="00850658">
        <w:rPr>
          <w:rStyle w:val="sb8d990e2"/>
        </w:rPr>
        <w:t>prompt response by the authorities is vital in maintaining public confidence in their adherence to the rule of law and in preventing any appearance of collusion in or tolerance of unlawful acts (see ECtHR,</w:t>
      </w:r>
      <w:r w:rsidRPr="00850658">
        <w:rPr>
          <w:rStyle w:val="s6b621b36"/>
        </w:rPr>
        <w:t xml:space="preserve"> </w:t>
      </w:r>
      <w:r w:rsidRPr="00850658">
        <w:rPr>
          <w:rStyle w:val="s6b621b36"/>
          <w:i/>
        </w:rPr>
        <w:t>Paul and Audrey Edwards</w:t>
      </w:r>
      <w:r w:rsidRPr="00850658">
        <w:rPr>
          <w:rStyle w:val="sb8d990e2"/>
        </w:rPr>
        <w:t xml:space="preserve"> </w:t>
      </w:r>
      <w:r w:rsidRPr="00850658">
        <w:rPr>
          <w:i/>
        </w:rPr>
        <w:t>v. the United Kingdom</w:t>
      </w:r>
      <w:r w:rsidRPr="00850658">
        <w:t xml:space="preserve">, no. 46477/99, judgment of 14 March 2002, § 72, </w:t>
      </w:r>
      <w:r w:rsidR="00423598" w:rsidRPr="00850658">
        <w:t xml:space="preserve">ECtHR [GC], </w:t>
      </w:r>
      <w:r w:rsidR="00423598" w:rsidRPr="00850658">
        <w:rPr>
          <w:i/>
        </w:rPr>
        <w:t>Mocanu and Others v. Romania</w:t>
      </w:r>
      <w:r w:rsidR="00423598" w:rsidRPr="00850658">
        <w:t xml:space="preserve">, cited in § </w:t>
      </w:r>
      <w:r w:rsidR="00423598" w:rsidRPr="00850658">
        <w:fldChar w:fldCharType="begin"/>
      </w:r>
      <w:r w:rsidR="00423598" w:rsidRPr="00850658">
        <w:instrText xml:space="preserve"> REF _Ref401245061 \r \h </w:instrText>
      </w:r>
      <w:r w:rsidR="00393E7A" w:rsidRPr="00850658">
        <w:instrText xml:space="preserve"> \* MERGEFORMAT </w:instrText>
      </w:r>
      <w:r w:rsidR="00423598" w:rsidRPr="00850658">
        <w:fldChar w:fldCharType="separate"/>
      </w:r>
      <w:r w:rsidR="004504C3">
        <w:t>73</w:t>
      </w:r>
      <w:r w:rsidR="00423598" w:rsidRPr="00850658">
        <w:fldChar w:fldCharType="end"/>
      </w:r>
      <w:r w:rsidR="00423598" w:rsidRPr="00850658">
        <w:t xml:space="preserve"> above, at § 323</w:t>
      </w:r>
      <w:r w:rsidRPr="00850658">
        <w:t>).</w:t>
      </w:r>
      <w:bookmarkEnd w:id="74"/>
    </w:p>
    <w:p w14:paraId="538EB9BE" w14:textId="77777777" w:rsidR="003E3F85" w:rsidRPr="00850658" w:rsidRDefault="003E3F85" w:rsidP="003E3F85">
      <w:pPr>
        <w:tabs>
          <w:tab w:val="num" w:pos="567"/>
        </w:tabs>
        <w:ind w:left="567" w:hanging="425"/>
        <w:contextualSpacing/>
        <w:jc w:val="both"/>
      </w:pPr>
    </w:p>
    <w:p w14:paraId="25788A56" w14:textId="77777777" w:rsidR="003E3F85" w:rsidRPr="00850658" w:rsidRDefault="003E3F85" w:rsidP="003E3F85">
      <w:pPr>
        <w:numPr>
          <w:ilvl w:val="0"/>
          <w:numId w:val="2"/>
        </w:numPr>
        <w:tabs>
          <w:tab w:val="left" w:pos="709"/>
        </w:tabs>
        <w:suppressAutoHyphens/>
        <w:autoSpaceDE w:val="0"/>
        <w:jc w:val="both"/>
      </w:pPr>
      <w:bookmarkStart w:id="77" w:name="_Ref373950745"/>
      <w:r w:rsidRPr="00850658">
        <w:lastRenderedPageBreak/>
        <w:t>Specifically with regard to persons disappeared and later found dead,</w:t>
      </w:r>
      <w:r w:rsidR="00DB4BC9" w:rsidRPr="00850658">
        <w:t xml:space="preserve"> which is not the situation in the present </w:t>
      </w:r>
      <w:proofErr w:type="gramStart"/>
      <w:r w:rsidR="00DB4BC9" w:rsidRPr="00850658">
        <w:t>case,</w:t>
      </w:r>
      <w:proofErr w:type="gramEnd"/>
      <w:r w:rsidRPr="00850658">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850658">
        <w:rPr>
          <w:i/>
        </w:rPr>
        <w:t>Palić v. Bosnia and Herzegovina</w:t>
      </w:r>
      <w:r w:rsidRPr="00850658">
        <w:t xml:space="preserve">, cited in § </w:t>
      </w:r>
      <w:r w:rsidRPr="00850658">
        <w:fldChar w:fldCharType="begin"/>
      </w:r>
      <w:r w:rsidRPr="00850658">
        <w:instrText xml:space="preserve"> REF _Ref366239979 \r \h  \* MERGEFORMAT </w:instrText>
      </w:r>
      <w:r w:rsidRPr="00850658">
        <w:fldChar w:fldCharType="separate"/>
      </w:r>
      <w:r w:rsidR="004504C3">
        <w:t>75</w:t>
      </w:r>
      <w:r w:rsidRPr="00850658">
        <w:fldChar w:fldCharType="end"/>
      </w:r>
      <w:r w:rsidRPr="00850658">
        <w:t xml:space="preserve"> above, § 46; in the same sense ECtHR [GC], </w:t>
      </w:r>
      <w:r w:rsidRPr="00850658">
        <w:rPr>
          <w:i/>
        </w:rPr>
        <w:t>Varnava and Others v. Turkey</w:t>
      </w:r>
      <w:r w:rsidRPr="00850658">
        <w:t xml:space="preserve">, cited in § </w:t>
      </w:r>
      <w:r w:rsidRPr="00850658">
        <w:fldChar w:fldCharType="begin"/>
      </w:r>
      <w:r w:rsidRPr="00850658">
        <w:instrText xml:space="preserve"> REF _Ref346123885 \r \h  \* MERGEFORMAT </w:instrText>
      </w:r>
      <w:r w:rsidRPr="00850658">
        <w:fldChar w:fldCharType="separate"/>
      </w:r>
      <w:r w:rsidR="004504C3">
        <w:t>48</w:t>
      </w:r>
      <w:r w:rsidRPr="00850658">
        <w:fldChar w:fldCharType="end"/>
      </w:r>
      <w:r w:rsidRPr="00850658">
        <w:t xml:space="preserve"> above, § 148, </w:t>
      </w:r>
      <w:r w:rsidRPr="00850658">
        <w:rPr>
          <w:i/>
        </w:rPr>
        <w:t>Aslakhanova and Others v. Russia</w:t>
      </w:r>
      <w:r w:rsidRPr="00850658">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w:t>
      </w:r>
      <w:r w:rsidR="00FC30AF" w:rsidRPr="00850658">
        <w:t>disappearance and probable killing</w:t>
      </w:r>
      <w:r w:rsidRPr="00850658">
        <w:t xml:space="preserve">, as well as to identify and prosecute any perpetrator of unlawful acts in that connection, will generally remain” (ECtHR, </w:t>
      </w:r>
      <w:r w:rsidRPr="00850658">
        <w:rPr>
          <w:i/>
        </w:rPr>
        <w:t>Palić v. Bosnia and Herzegovina</w:t>
      </w:r>
      <w:r w:rsidRPr="00850658">
        <w:t xml:space="preserve">, cited above, § 46; in the same sense ECtHR [GC], </w:t>
      </w:r>
      <w:r w:rsidRPr="00850658">
        <w:rPr>
          <w:i/>
        </w:rPr>
        <w:t>Varnava and Others v. Turkey</w:t>
      </w:r>
      <w:r w:rsidRPr="00850658">
        <w:t xml:space="preserve">, cited above, § 145). While the location and the subsequent identification of the mortal remains of the victim may in themselves be significant achievements, the procedural obligation under Article 2 continues to exist (see ECtHR, </w:t>
      </w:r>
      <w:r w:rsidRPr="00850658">
        <w:rPr>
          <w:i/>
        </w:rPr>
        <w:t>Palić v. Bosnia and Herzegovina</w:t>
      </w:r>
      <w:r w:rsidRPr="00850658">
        <w:t>, cited above, § 64).</w:t>
      </w:r>
      <w:bookmarkStart w:id="78" w:name="_Ref347937166"/>
      <w:bookmarkEnd w:id="77"/>
    </w:p>
    <w:p w14:paraId="1C5FD6B1" w14:textId="77777777" w:rsidR="003E3F85" w:rsidRPr="00850658" w:rsidRDefault="003E3F85" w:rsidP="003E3F85">
      <w:pPr>
        <w:pStyle w:val="ListParagraph"/>
        <w:suppressAutoHyphens w:val="0"/>
        <w:ind w:left="360"/>
        <w:contextualSpacing/>
        <w:jc w:val="both"/>
        <w:rPr>
          <w:lang w:eastAsia="en-US"/>
        </w:rPr>
      </w:pPr>
    </w:p>
    <w:p w14:paraId="23BC08CA" w14:textId="77777777" w:rsidR="002437E9" w:rsidRPr="00850658" w:rsidRDefault="003E3F85" w:rsidP="002437E9">
      <w:pPr>
        <w:numPr>
          <w:ilvl w:val="0"/>
          <w:numId w:val="2"/>
        </w:numPr>
        <w:tabs>
          <w:tab w:val="left" w:pos="709"/>
        </w:tabs>
        <w:suppressAutoHyphens/>
        <w:autoSpaceDE w:val="0"/>
        <w:jc w:val="both"/>
      </w:pPr>
      <w:bookmarkStart w:id="79" w:name="_Ref366240205"/>
      <w:r w:rsidRPr="00850658">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566413" w:rsidRPr="00850658">
        <w:t xml:space="preserve">ECtHR, </w:t>
      </w:r>
      <w:r w:rsidRPr="00850658">
        <w:rPr>
          <w:i/>
        </w:rPr>
        <w:t>Ahmet Özkan and Others v. Turkey</w:t>
      </w:r>
      <w:r w:rsidRPr="00850658">
        <w:t xml:space="preserve">, cited in § </w:t>
      </w:r>
      <w:r w:rsidRPr="00850658">
        <w:fldChar w:fldCharType="begin"/>
      </w:r>
      <w:r w:rsidRPr="00850658">
        <w:instrText xml:space="preserve"> REF _Ref366240125 \r \h  \* MERGEFORMAT </w:instrText>
      </w:r>
      <w:r w:rsidRPr="00850658">
        <w:fldChar w:fldCharType="separate"/>
      </w:r>
      <w:r w:rsidR="004504C3">
        <w:t>74</w:t>
      </w:r>
      <w:r w:rsidRPr="00850658">
        <w:fldChar w:fldCharType="end"/>
      </w:r>
      <w:r w:rsidRPr="00850658">
        <w:t xml:space="preserve"> above, at §§ 311</w:t>
      </w:r>
      <w:r w:rsidRPr="00850658">
        <w:noBreakHyphen/>
        <w:t xml:space="preserve">314; </w:t>
      </w:r>
      <w:r w:rsidR="00566413" w:rsidRPr="00850658">
        <w:t xml:space="preserve">ECtHR, </w:t>
      </w:r>
      <w:r w:rsidRPr="00850658">
        <w:rPr>
          <w:i/>
        </w:rPr>
        <w:t>Isayeva v. Russia</w:t>
      </w:r>
      <w:r w:rsidRPr="00850658">
        <w:t xml:space="preserve">, cited in § </w:t>
      </w:r>
      <w:r w:rsidRPr="00850658">
        <w:fldChar w:fldCharType="begin"/>
      </w:r>
      <w:r w:rsidRPr="00850658">
        <w:instrText xml:space="preserve"> REF _Ref366240125 \r \h  \* MERGEFORMAT </w:instrText>
      </w:r>
      <w:r w:rsidRPr="00850658">
        <w:fldChar w:fldCharType="separate"/>
      </w:r>
      <w:r w:rsidR="004504C3">
        <w:t>74</w:t>
      </w:r>
      <w:r w:rsidRPr="00850658">
        <w:fldChar w:fldCharType="end"/>
      </w:r>
      <w:r w:rsidRPr="00850658">
        <w:t xml:space="preserve"> above, §§ 211-214 and the cases cited therein</w:t>
      </w:r>
      <w:r w:rsidR="00566413" w:rsidRPr="00850658">
        <w:t>;</w:t>
      </w:r>
      <w:r w:rsidRPr="00850658">
        <w:t xml:space="preserve"> ECtHR [GC], </w:t>
      </w:r>
      <w:r w:rsidRPr="00850658">
        <w:rPr>
          <w:i/>
        </w:rPr>
        <w:t>Al-Skeini and Others v. United Kingdom</w:t>
      </w:r>
      <w:r w:rsidRPr="00850658">
        <w:t>, no. 55721/07, judgment of 7 July 2011, § 167, ECHR 2011</w:t>
      </w:r>
      <w:r w:rsidR="00423598" w:rsidRPr="00850658">
        <w:t xml:space="preserve">, ECtHR [GC], </w:t>
      </w:r>
      <w:r w:rsidR="00423598" w:rsidRPr="00850658">
        <w:rPr>
          <w:i/>
        </w:rPr>
        <w:t>Mocanu and Others v. Romania</w:t>
      </w:r>
      <w:r w:rsidR="00423598" w:rsidRPr="00850658">
        <w:t xml:space="preserve">, cited in § </w:t>
      </w:r>
      <w:r w:rsidR="00423598" w:rsidRPr="00850658">
        <w:fldChar w:fldCharType="begin"/>
      </w:r>
      <w:r w:rsidR="00423598" w:rsidRPr="00850658">
        <w:instrText xml:space="preserve"> REF _Ref401245061 \r \h  \* MERGEFORMAT </w:instrText>
      </w:r>
      <w:r w:rsidR="00423598" w:rsidRPr="00850658">
        <w:fldChar w:fldCharType="separate"/>
      </w:r>
      <w:r w:rsidR="004504C3">
        <w:t>73</w:t>
      </w:r>
      <w:r w:rsidR="00423598" w:rsidRPr="00850658">
        <w:fldChar w:fldCharType="end"/>
      </w:r>
      <w:r w:rsidR="00423598" w:rsidRPr="00850658">
        <w:t xml:space="preserve"> above, at § 324</w:t>
      </w:r>
      <w:r w:rsidRPr="00850658">
        <w:t>).</w:t>
      </w:r>
      <w:bookmarkEnd w:id="78"/>
      <w:bookmarkEnd w:id="79"/>
    </w:p>
    <w:p w14:paraId="7FA9E19B" w14:textId="77777777" w:rsidR="002437E9" w:rsidRPr="00850658" w:rsidRDefault="002437E9" w:rsidP="002437E9">
      <w:pPr>
        <w:pStyle w:val="ListParagraph"/>
      </w:pPr>
    </w:p>
    <w:p w14:paraId="3340E84D" w14:textId="77777777" w:rsidR="003E3F85" w:rsidRPr="00850658" w:rsidRDefault="002437E9" w:rsidP="002437E9">
      <w:pPr>
        <w:numPr>
          <w:ilvl w:val="0"/>
          <w:numId w:val="2"/>
        </w:numPr>
        <w:tabs>
          <w:tab w:val="left" w:pos="709"/>
        </w:tabs>
        <w:suppressAutoHyphens/>
        <w:autoSpaceDE w:val="0"/>
        <w:jc w:val="both"/>
      </w:pPr>
      <w:r w:rsidRPr="00850658">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r w:rsidR="00423598" w:rsidRPr="00850658">
        <w:t xml:space="preserve">ECtHR, </w:t>
      </w:r>
      <w:r w:rsidR="00423598" w:rsidRPr="00850658">
        <w:rPr>
          <w:i/>
          <w:iCs/>
        </w:rPr>
        <w:t>El-Masri v. “The Former Yugoslav Republic of Macedonia”</w:t>
      </w:r>
      <w:r w:rsidR="00423598" w:rsidRPr="00850658">
        <w:t xml:space="preserve">, cited in § </w:t>
      </w:r>
      <w:r w:rsidR="00423598" w:rsidRPr="00850658">
        <w:fldChar w:fldCharType="begin"/>
      </w:r>
      <w:r w:rsidR="00423598" w:rsidRPr="00850658">
        <w:instrText xml:space="preserve"> REF _Ref401245516 \r \h  \* MERGEFORMAT </w:instrText>
      </w:r>
      <w:r w:rsidR="00423598" w:rsidRPr="00850658">
        <w:fldChar w:fldCharType="separate"/>
      </w:r>
      <w:r w:rsidR="004504C3">
        <w:t>76</w:t>
      </w:r>
      <w:r w:rsidR="00423598" w:rsidRPr="00850658">
        <w:fldChar w:fldCharType="end"/>
      </w:r>
      <w:r w:rsidR="00423598" w:rsidRPr="00850658">
        <w:t xml:space="preserve"> above, § 191</w:t>
      </w:r>
      <w:r w:rsidRPr="00850658">
        <w:t xml:space="preserve">; ECtHR, </w:t>
      </w:r>
      <w:r w:rsidRPr="00850658">
        <w:rPr>
          <w:i/>
          <w:iCs/>
        </w:rPr>
        <w:t>Al Nashiri v. Poland</w:t>
      </w:r>
      <w:r w:rsidRPr="00850658">
        <w:t>,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850658">
        <w:t xml:space="preserve"> see also HRC,  </w:t>
      </w:r>
      <w:r w:rsidRPr="00850658">
        <w:rPr>
          <w:i/>
          <w:iCs/>
        </w:rPr>
        <w:t>Schedko and Bondarenko v. Belarus</w:t>
      </w:r>
      <w:r w:rsidRPr="00850658">
        <w:t xml:space="preserve">, Communication no. 886/1999, views of 3 April 2003, § 10.2, CCPR/C/77/D/886/1999; HRC, </w:t>
      </w:r>
      <w:r w:rsidRPr="00850658">
        <w:rPr>
          <w:i/>
          <w:iCs/>
        </w:rPr>
        <w:t>Mariam, Philippe, Auguste and Thomas Sankara v. Burkina Faso</w:t>
      </w:r>
      <w:r w:rsidRPr="00850658">
        <w:t>, Communication no. 1159/2003, views of 8 March 2006</w:t>
      </w:r>
      <w:r w:rsidRPr="00850658">
        <w:rPr>
          <w:sz w:val="27"/>
          <w:szCs w:val="27"/>
          <w:shd w:val="clear" w:color="auto" w:fill="FFFFFF"/>
        </w:rPr>
        <w:t xml:space="preserve">, </w:t>
      </w:r>
      <w:r w:rsidRPr="00850658">
        <w:t xml:space="preserve">§ 10.2, CCPR/C/86/D/1159/2003; UN Human Rights Council, Resolutions 9/11 and 12/12: Right to the Truth, 24 September 2008 and 12 October 2009; Preamble and Article 24 (2) of the Convention for the Protection of All People from Enforced Disappearance, cited in § </w:t>
      </w:r>
      <w:r w:rsidR="009124BF" w:rsidRPr="00850658">
        <w:fldChar w:fldCharType="begin"/>
      </w:r>
      <w:r w:rsidR="009124BF" w:rsidRPr="00850658">
        <w:instrText xml:space="preserve"> REF _Ref409081615 \r \h  \* MERGEFORMAT </w:instrText>
      </w:r>
      <w:r w:rsidR="009124BF" w:rsidRPr="00850658">
        <w:fldChar w:fldCharType="separate"/>
      </w:r>
      <w:r w:rsidR="004504C3">
        <w:t>71</w:t>
      </w:r>
      <w:r w:rsidR="009124BF" w:rsidRPr="00850658">
        <w:fldChar w:fldCharType="end"/>
      </w:r>
      <w:r w:rsidRPr="00850658">
        <w:t xml:space="preserve"> above; see also Report of the Special Rapporteur on the </w:t>
      </w:r>
      <w:r w:rsidRPr="00850658">
        <w:lastRenderedPageBreak/>
        <w:t xml:space="preserve">promotion and protection of human rights and fundamental freedoms while countering terrorism, Mr Ben Emmerson, </w:t>
      </w:r>
      <w:r w:rsidRPr="00850658">
        <w:rPr>
          <w:i/>
          <w:iCs/>
        </w:rPr>
        <w:t>Framework Principles for securing the accountability of public officials for gross and systematic human rights violations committed in the context of State counter-terrorist initiatives</w:t>
      </w:r>
      <w:r w:rsidRPr="00850658">
        <w:t>, UN Document A/HRC/22/52, 1 March 2013, § 23-26).</w:t>
      </w:r>
    </w:p>
    <w:p w14:paraId="5C1CA883" w14:textId="77777777" w:rsidR="002C60F4" w:rsidRPr="00850658" w:rsidRDefault="002C60F4" w:rsidP="002437E9">
      <w:pPr>
        <w:tabs>
          <w:tab w:val="left" w:pos="709"/>
        </w:tabs>
        <w:suppressAutoHyphens/>
        <w:autoSpaceDE w:val="0"/>
        <w:ind w:left="360"/>
        <w:jc w:val="both"/>
      </w:pPr>
    </w:p>
    <w:p w14:paraId="5279A1ED" w14:textId="77777777" w:rsidR="003E3F85" w:rsidRPr="00850658" w:rsidRDefault="003E3F85" w:rsidP="003E3F85">
      <w:pPr>
        <w:pStyle w:val="ListParagraph"/>
        <w:numPr>
          <w:ilvl w:val="0"/>
          <w:numId w:val="7"/>
        </w:numPr>
        <w:contextualSpacing/>
        <w:jc w:val="both"/>
        <w:rPr>
          <w:i/>
          <w:lang w:eastAsia="en-US"/>
        </w:rPr>
      </w:pPr>
      <w:r w:rsidRPr="00850658">
        <w:rPr>
          <w:i/>
        </w:rPr>
        <w:t>Applicability</w:t>
      </w:r>
      <w:r w:rsidRPr="00850658">
        <w:rPr>
          <w:i/>
          <w:lang w:eastAsia="en-US"/>
        </w:rPr>
        <w:t xml:space="preserve"> of Article 2 to the Kosovo context</w:t>
      </w:r>
    </w:p>
    <w:p w14:paraId="1F45D000" w14:textId="77777777" w:rsidR="003E3F85" w:rsidRPr="00850658" w:rsidRDefault="003E3F85" w:rsidP="003E3F85">
      <w:pPr>
        <w:pStyle w:val="ListParagraph"/>
        <w:tabs>
          <w:tab w:val="num" w:pos="567"/>
        </w:tabs>
        <w:ind w:left="567" w:hanging="425"/>
        <w:rPr>
          <w:lang w:eastAsia="en-US"/>
        </w:rPr>
      </w:pPr>
    </w:p>
    <w:p w14:paraId="54494DBD" w14:textId="77777777" w:rsidR="003E3F85" w:rsidRPr="00850658" w:rsidRDefault="003E3F85" w:rsidP="003E3F85">
      <w:pPr>
        <w:numPr>
          <w:ilvl w:val="0"/>
          <w:numId w:val="2"/>
        </w:numPr>
        <w:tabs>
          <w:tab w:val="left" w:pos="709"/>
        </w:tabs>
        <w:suppressAutoHyphens/>
        <w:autoSpaceDE w:val="0"/>
        <w:jc w:val="both"/>
      </w:pPr>
      <w:bookmarkStart w:id="80" w:name="_Ref366163783"/>
      <w:r w:rsidRPr="00850658">
        <w:t xml:space="preserve">The Panel is conscious that </w:t>
      </w:r>
      <w:r w:rsidR="00AD7F08" w:rsidRPr="00850658">
        <w:t xml:space="preserve">Mr </w:t>
      </w:r>
      <w:r w:rsidR="009124BF" w:rsidRPr="00850658">
        <w:t>Jovan Jovanović</w:t>
      </w:r>
      <w:r w:rsidR="00711F6E" w:rsidRPr="00850658">
        <w:t xml:space="preserve"> </w:t>
      </w:r>
      <w:r w:rsidR="007D0DD0" w:rsidRPr="00850658">
        <w:t xml:space="preserve">was abducted and subsequently </w:t>
      </w:r>
      <w:r w:rsidR="00AD7F08" w:rsidRPr="00850658">
        <w:t>disappeared around the same time as</w:t>
      </w:r>
      <w:r w:rsidR="003A658C" w:rsidRPr="00850658">
        <w:t xml:space="preserve"> </w:t>
      </w:r>
      <w:r w:rsidRPr="00850658">
        <w:t>the deployment of UNMIK in Kosovo, when crime, violence and insecurity were rife.</w:t>
      </w:r>
      <w:bookmarkEnd w:id="80"/>
    </w:p>
    <w:p w14:paraId="1B383F47" w14:textId="77777777" w:rsidR="003E3F85" w:rsidRPr="00850658" w:rsidRDefault="003E3F85" w:rsidP="003E3F85">
      <w:pPr>
        <w:pStyle w:val="ListParagraph"/>
        <w:ind w:left="567"/>
        <w:contextualSpacing/>
        <w:jc w:val="both"/>
        <w:rPr>
          <w:lang w:eastAsia="en-US"/>
        </w:rPr>
      </w:pPr>
    </w:p>
    <w:p w14:paraId="57E044AF" w14:textId="77777777" w:rsidR="003E3F85" w:rsidRPr="00850658" w:rsidRDefault="003E3F85" w:rsidP="003E3F85">
      <w:pPr>
        <w:numPr>
          <w:ilvl w:val="0"/>
          <w:numId w:val="2"/>
        </w:numPr>
        <w:tabs>
          <w:tab w:val="left" w:pos="709"/>
        </w:tabs>
        <w:suppressAutoHyphens/>
        <w:autoSpaceDE w:val="0"/>
        <w:jc w:val="both"/>
      </w:pPr>
      <w:r w:rsidRPr="00850658">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14:paraId="51B7C8C3" w14:textId="77777777" w:rsidR="003E3F85" w:rsidRPr="00850658" w:rsidRDefault="003E3F85" w:rsidP="003E3F85">
      <w:pPr>
        <w:pStyle w:val="ListParagraph"/>
        <w:ind w:left="567"/>
        <w:contextualSpacing/>
        <w:jc w:val="both"/>
        <w:rPr>
          <w:lang w:eastAsia="en-US"/>
        </w:rPr>
      </w:pPr>
    </w:p>
    <w:p w14:paraId="129DBCDB" w14:textId="77777777" w:rsidR="003E3F85" w:rsidRPr="00850658" w:rsidRDefault="003E3F85" w:rsidP="003E3F85">
      <w:pPr>
        <w:numPr>
          <w:ilvl w:val="0"/>
          <w:numId w:val="2"/>
        </w:numPr>
        <w:tabs>
          <w:tab w:val="left" w:pos="709"/>
        </w:tabs>
        <w:suppressAutoHyphens/>
        <w:autoSpaceDE w:val="0"/>
        <w:jc w:val="both"/>
      </w:pPr>
      <w:r w:rsidRPr="00850658">
        <w:t xml:space="preserve">The </w:t>
      </w:r>
      <w:r w:rsidRPr="00850658">
        <w:rPr>
          <w:lang w:eastAsia="nl-BE"/>
        </w:rPr>
        <w:t>Panel</w:t>
      </w:r>
      <w:r w:rsidRPr="00850658">
        <w:t xml:space="preserve"> considers that this raises two main questions: first, whether the standards of Article 2 continue to apply in situation of conflict or generalised violence and, second, whether such standards shall be considered fully applicable to UNMIK.</w:t>
      </w:r>
    </w:p>
    <w:p w14:paraId="4862D322" w14:textId="77777777" w:rsidR="003E3F85" w:rsidRPr="00850658" w:rsidRDefault="003E3F85" w:rsidP="003E3F85">
      <w:pPr>
        <w:pStyle w:val="ListParagraph"/>
        <w:ind w:left="567" w:hanging="425"/>
        <w:rPr>
          <w:lang w:eastAsia="en-US"/>
        </w:rPr>
      </w:pPr>
    </w:p>
    <w:p w14:paraId="124A9453" w14:textId="77777777" w:rsidR="003E3F85" w:rsidRPr="00850658" w:rsidRDefault="003E3F85" w:rsidP="003E3F85">
      <w:pPr>
        <w:numPr>
          <w:ilvl w:val="0"/>
          <w:numId w:val="2"/>
        </w:numPr>
        <w:tabs>
          <w:tab w:val="left" w:pos="709"/>
        </w:tabs>
        <w:suppressAutoHyphens/>
        <w:autoSpaceDE w:val="0"/>
        <w:jc w:val="both"/>
      </w:pPr>
      <w:r w:rsidRPr="00850658">
        <w:t xml:space="preserve">As regards the applicability of Article 2 to UNMIK, the Panel recalls </w:t>
      </w:r>
      <w:r w:rsidRPr="00850658">
        <w:rPr>
          <w:lang w:eastAsia="nl-BE"/>
        </w:rPr>
        <w:t xml:space="preserve">that with the adoption of the UNMIK Regulation No. 1999/1 on 25 July 1999 UNMIK undertook an obligation to observe internationally recognised human rights standards in exercising its </w:t>
      </w:r>
      <w:r w:rsidRPr="00850658">
        <w:t>functions</w:t>
      </w:r>
      <w:r w:rsidRPr="00850658">
        <w:rPr>
          <w:lang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850658">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850658">
        <w:rPr>
          <w:i/>
        </w:rPr>
        <w:t>Milogorić</w:t>
      </w:r>
      <w:r w:rsidRPr="00850658">
        <w:t xml:space="preserve"> </w:t>
      </w:r>
      <w:r w:rsidRPr="00850658">
        <w:rPr>
          <w:i/>
        </w:rPr>
        <w:t>and Others,</w:t>
      </w:r>
      <w:r w:rsidRPr="00850658">
        <w:t xml:space="preserve"> nos. 38/08 and others, opinion of 24 March 2011, § 44; </w:t>
      </w:r>
      <w:r w:rsidRPr="00850658">
        <w:rPr>
          <w:i/>
        </w:rPr>
        <w:t>Berisha and Others,</w:t>
      </w:r>
      <w:r w:rsidRPr="00850658">
        <w:t xml:space="preserve"> nos. 27/08 and others, opinion of 23 February 2011,</w:t>
      </w:r>
      <w:r w:rsidRPr="00850658">
        <w:rPr>
          <w:i/>
        </w:rPr>
        <w:t xml:space="preserve"> </w:t>
      </w:r>
      <w:r w:rsidRPr="00850658">
        <w:t xml:space="preserve">§ 25; </w:t>
      </w:r>
      <w:r w:rsidRPr="00850658">
        <w:rPr>
          <w:i/>
        </w:rPr>
        <w:t>Lalić and Others</w:t>
      </w:r>
      <w:r w:rsidRPr="00850658">
        <w:t>, nos. 09/08 and others, opinion of 9 June 2012, § 22).</w:t>
      </w:r>
    </w:p>
    <w:p w14:paraId="5228E6E1" w14:textId="77777777" w:rsidR="003E3F85" w:rsidRPr="00850658" w:rsidRDefault="003E3F85" w:rsidP="003E3F85">
      <w:pPr>
        <w:pStyle w:val="ListParagraph"/>
      </w:pPr>
    </w:p>
    <w:p w14:paraId="062E1E75" w14:textId="77777777" w:rsidR="003E3F85" w:rsidRPr="00850658" w:rsidRDefault="003E3F85" w:rsidP="003E3F85">
      <w:pPr>
        <w:numPr>
          <w:ilvl w:val="0"/>
          <w:numId w:val="2"/>
        </w:numPr>
        <w:tabs>
          <w:tab w:val="left" w:pos="709"/>
        </w:tabs>
        <w:suppressAutoHyphens/>
        <w:autoSpaceDE w:val="0"/>
        <w:jc w:val="both"/>
      </w:pPr>
      <w:bookmarkStart w:id="81" w:name="_Ref366241246"/>
      <w:r w:rsidRPr="00850658">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Yugoslavia (see, among other examples, ECtHR, </w:t>
      </w:r>
      <w:r w:rsidRPr="00850658">
        <w:rPr>
          <w:i/>
        </w:rPr>
        <w:t>Palić v. Bosnia and Herzegovina,</w:t>
      </w:r>
      <w:r w:rsidRPr="00850658">
        <w:t xml:space="preserve"> cited in § </w:t>
      </w:r>
      <w:r w:rsidRPr="00850658">
        <w:fldChar w:fldCharType="begin"/>
      </w:r>
      <w:r w:rsidRPr="00850658">
        <w:instrText xml:space="preserve"> REF _Ref366239979 \r \h  \* MERGEFORMAT </w:instrText>
      </w:r>
      <w:r w:rsidRPr="00850658">
        <w:fldChar w:fldCharType="separate"/>
      </w:r>
      <w:r w:rsidR="004504C3">
        <w:t>75</w:t>
      </w:r>
      <w:r w:rsidRPr="00850658">
        <w:fldChar w:fldCharType="end"/>
      </w:r>
      <w:r w:rsidRPr="00850658">
        <w:t xml:space="preserve"> above, and ECtHR, </w:t>
      </w:r>
      <w:r w:rsidRPr="00850658">
        <w:rPr>
          <w:i/>
        </w:rPr>
        <w:t>Jularić v. Croatia</w:t>
      </w:r>
      <w:r w:rsidRPr="00850658">
        <w:t xml:space="preserve">, no. 20106/06, judgment of 20 January 2011). The Court has further held that that the procedural obligation under Article 2 continues to apply in “difficult security conditions, including in a context of armed conflict” (see ECtHR [GC], </w:t>
      </w:r>
      <w:r w:rsidRPr="00850658">
        <w:rPr>
          <w:i/>
        </w:rPr>
        <w:t>Al-Skeini and Others v. the United Kingdom</w:t>
      </w:r>
      <w:r w:rsidRPr="00850658">
        <w:t xml:space="preserve">, cited in § </w:t>
      </w:r>
      <w:r w:rsidRPr="00850658">
        <w:fldChar w:fldCharType="begin"/>
      </w:r>
      <w:r w:rsidRPr="00850658">
        <w:instrText xml:space="preserve"> REF _Ref366240205 \r \h  \* MERGEFORMAT </w:instrText>
      </w:r>
      <w:r w:rsidRPr="00850658">
        <w:fldChar w:fldCharType="separate"/>
      </w:r>
      <w:r w:rsidR="004504C3">
        <w:t>79</w:t>
      </w:r>
      <w:r w:rsidRPr="00850658">
        <w:fldChar w:fldCharType="end"/>
      </w:r>
      <w:r w:rsidRPr="00850658">
        <w:t xml:space="preserve"> above, at § 164; see also ECtHR, </w:t>
      </w:r>
      <w:r w:rsidRPr="00850658">
        <w:rPr>
          <w:i/>
        </w:rPr>
        <w:t>Güleç v. Turkey</w:t>
      </w:r>
      <w:r w:rsidRPr="00850658">
        <w:t>, judgment of 27 July 1998, § 81, Reports 1998-IV; ECtHR,</w:t>
      </w:r>
      <w:r w:rsidRPr="00850658">
        <w:rPr>
          <w:i/>
        </w:rPr>
        <w:t xml:space="preserve"> Ergi v. Turkey</w:t>
      </w:r>
      <w:r w:rsidRPr="00850658">
        <w:t>, judgment of 28 July 1998, §§ 79 and 82, Reports 1998-IV; ECtHR,</w:t>
      </w:r>
      <w:r w:rsidRPr="00850658">
        <w:rPr>
          <w:i/>
        </w:rPr>
        <w:t xml:space="preserve"> Ahmet Özkan and Others v. Turkey</w:t>
      </w:r>
      <w:r w:rsidRPr="00850658">
        <w:t xml:space="preserve">, </w:t>
      </w:r>
      <w:r w:rsidRPr="00850658">
        <w:lastRenderedPageBreak/>
        <w:t xml:space="preserve">cited in § </w:t>
      </w:r>
      <w:r w:rsidRPr="00850658">
        <w:fldChar w:fldCharType="begin"/>
      </w:r>
      <w:r w:rsidRPr="00850658">
        <w:instrText xml:space="preserve"> REF _Ref366240125 \r \h  \* MERGEFORMAT </w:instrText>
      </w:r>
      <w:r w:rsidRPr="00850658">
        <w:fldChar w:fldCharType="separate"/>
      </w:r>
      <w:r w:rsidR="004504C3">
        <w:t>74</w:t>
      </w:r>
      <w:r w:rsidRPr="00850658">
        <w:fldChar w:fldCharType="end"/>
      </w:r>
      <w:r w:rsidRPr="00850658">
        <w:t xml:space="preserve"> above, at §§ 85-90, 309-320 and 326-330;</w:t>
      </w:r>
      <w:r w:rsidRPr="00850658">
        <w:rPr>
          <w:i/>
        </w:rPr>
        <w:t xml:space="preserve"> </w:t>
      </w:r>
      <w:r w:rsidR="00B41BE6" w:rsidRPr="00850658">
        <w:t xml:space="preserve">ECtHR, </w:t>
      </w:r>
      <w:r w:rsidRPr="00850658">
        <w:rPr>
          <w:i/>
        </w:rPr>
        <w:t>Isayeva v. Russia</w:t>
      </w:r>
      <w:r w:rsidRPr="00850658">
        <w:t xml:space="preserve">, cited in § </w:t>
      </w:r>
      <w:r w:rsidRPr="00850658">
        <w:fldChar w:fldCharType="begin"/>
      </w:r>
      <w:r w:rsidRPr="00850658">
        <w:instrText xml:space="preserve"> REF _Ref366240125 \r \h  \* MERGEFORMAT </w:instrText>
      </w:r>
      <w:r w:rsidRPr="00850658">
        <w:fldChar w:fldCharType="separate"/>
      </w:r>
      <w:r w:rsidR="004504C3">
        <w:t>74</w:t>
      </w:r>
      <w:r w:rsidRPr="00850658">
        <w:fldChar w:fldCharType="end"/>
      </w:r>
      <w:r w:rsidRPr="00850658">
        <w:t xml:space="preserve"> above, at §§ 180 and 210; ECtHR, </w:t>
      </w:r>
      <w:r w:rsidRPr="00850658">
        <w:rPr>
          <w:i/>
        </w:rPr>
        <w:t>Kanlibaş v. Turkey</w:t>
      </w:r>
      <w:r w:rsidRPr="00850658">
        <w:t>, no. 32444/96, judgment of 8 December 2005, §§ 39-51).</w:t>
      </w:r>
      <w:bookmarkEnd w:id="81"/>
      <w:r w:rsidRPr="00850658">
        <w:t xml:space="preserve"> </w:t>
      </w:r>
    </w:p>
    <w:p w14:paraId="32532461" w14:textId="77777777" w:rsidR="003E3F85" w:rsidRPr="00850658" w:rsidRDefault="003E3F85" w:rsidP="003E3F85">
      <w:pPr>
        <w:pStyle w:val="ListParagraph"/>
        <w:suppressAutoHyphens w:val="0"/>
        <w:ind w:left="567"/>
        <w:contextualSpacing/>
        <w:jc w:val="both"/>
        <w:rPr>
          <w:lang w:eastAsia="en-US"/>
        </w:rPr>
      </w:pPr>
    </w:p>
    <w:p w14:paraId="3AA767B8" w14:textId="77777777" w:rsidR="003E3F85" w:rsidRPr="00850658" w:rsidRDefault="003E3F85" w:rsidP="003E3F85">
      <w:pPr>
        <w:numPr>
          <w:ilvl w:val="0"/>
          <w:numId w:val="2"/>
        </w:numPr>
        <w:tabs>
          <w:tab w:val="left" w:pos="709"/>
        </w:tabs>
        <w:suppressAutoHyphens/>
        <w:autoSpaceDE w:val="0"/>
        <w:jc w:val="both"/>
      </w:pPr>
      <w:bookmarkStart w:id="82" w:name="_Ref366241459"/>
      <w:r w:rsidRPr="00850658">
        <w:t xml:space="preserve">The Court has acknowledged that “where the death to be investigated under Article 2 occurs in circumstances of generalised violence, armed conflict or insurgency, obstacles may be placed in the way of investigators and […] concrete constraints may compel the use of less effective measures of investigation or may cause an investigation to be delayed” (see, ECtHR [GC], </w:t>
      </w:r>
      <w:r w:rsidRPr="00850658">
        <w:rPr>
          <w:i/>
        </w:rPr>
        <w:t xml:space="preserve">Al-Skeini and Others v. the United Kingdom, </w:t>
      </w:r>
      <w:r w:rsidRPr="00850658">
        <w:t>cited above, at §164;</w:t>
      </w:r>
      <w:r w:rsidRPr="00850658">
        <w:rPr>
          <w:i/>
        </w:rPr>
        <w:t xml:space="preserve"> </w:t>
      </w:r>
      <w:r w:rsidRPr="00850658">
        <w:t>ECtHR,</w:t>
      </w:r>
      <w:r w:rsidRPr="00850658">
        <w:rPr>
          <w:i/>
        </w:rPr>
        <w:t xml:space="preserve"> Bazorkina v. Russia</w:t>
      </w:r>
      <w:r w:rsidRPr="00850658">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850658">
        <w:rPr>
          <w:i/>
        </w:rPr>
        <w:t>Kaya v. Turkey</w:t>
      </w:r>
      <w:r w:rsidRPr="00850658">
        <w:t xml:space="preserve">, cited in § </w:t>
      </w:r>
      <w:r w:rsidRPr="00850658">
        <w:fldChar w:fldCharType="begin"/>
      </w:r>
      <w:r w:rsidRPr="00850658">
        <w:instrText xml:space="preserve"> REF _Ref366239860 \r \h  \* MERGEFORMAT </w:instrText>
      </w:r>
      <w:r w:rsidRPr="00850658">
        <w:fldChar w:fldCharType="separate"/>
      </w:r>
      <w:r w:rsidR="004504C3">
        <w:t>72</w:t>
      </w:r>
      <w:r w:rsidRPr="00850658">
        <w:fldChar w:fldCharType="end"/>
      </w:r>
      <w:r w:rsidRPr="00850658">
        <w:t xml:space="preserve"> above, at §§ 86</w:t>
      </w:r>
      <w:r w:rsidRPr="00850658">
        <w:noBreakHyphen/>
        <w:t xml:space="preserve">92; ECtHR, </w:t>
      </w:r>
      <w:r w:rsidRPr="00850658">
        <w:rPr>
          <w:i/>
        </w:rPr>
        <w:t xml:space="preserve">Ergi v Turkey, </w:t>
      </w:r>
      <w:r w:rsidRPr="00850658">
        <w:t xml:space="preserve">cited above, at §§ 82-85; ECtHR [GC], </w:t>
      </w:r>
      <w:r w:rsidRPr="00850658">
        <w:rPr>
          <w:i/>
        </w:rPr>
        <w:t>Tanrıkulu v. Turkey</w:t>
      </w:r>
      <w:r w:rsidRPr="00850658">
        <w:t xml:space="preserve">, no. 23763/94, judgment of 8 July 1999, §§ 101-110, ECHR 1999-IV; ECtHR, </w:t>
      </w:r>
      <w:r w:rsidRPr="00850658">
        <w:rPr>
          <w:i/>
        </w:rPr>
        <w:t>Khashiyev and Akayeva v. Russia</w:t>
      </w:r>
      <w:r w:rsidRPr="00850658">
        <w:t xml:space="preserve">, nos. 57942/00 and 57945/00, judgment of 24 February 2005, §§ 156-166; ECtHR, </w:t>
      </w:r>
      <w:r w:rsidRPr="00850658">
        <w:rPr>
          <w:i/>
        </w:rPr>
        <w:t>Isayeva v. Russia</w:t>
      </w:r>
      <w:r w:rsidRPr="00850658">
        <w:t>, cited above, at §§ 215</w:t>
      </w:r>
      <w:r w:rsidRPr="00850658">
        <w:noBreakHyphen/>
        <w:t xml:space="preserve">224; ECtHR, </w:t>
      </w:r>
      <w:r w:rsidRPr="00850658">
        <w:rPr>
          <w:i/>
        </w:rPr>
        <w:t>Musayev and Others v. Russia</w:t>
      </w:r>
      <w:r w:rsidRPr="00850658">
        <w:t>, nos. 57941/00 and others, judgment of 26 July 2007, §§ 158-165).</w:t>
      </w:r>
      <w:bookmarkEnd w:id="82"/>
      <w:r w:rsidRPr="00850658">
        <w:t xml:space="preserve"> </w:t>
      </w:r>
    </w:p>
    <w:p w14:paraId="4342C673" w14:textId="77777777" w:rsidR="003E3F85" w:rsidRPr="00850658" w:rsidRDefault="003E3F85" w:rsidP="003E3F85">
      <w:pPr>
        <w:pStyle w:val="ListParagraph"/>
        <w:suppressAutoHyphens w:val="0"/>
        <w:ind w:left="567"/>
        <w:contextualSpacing/>
        <w:jc w:val="both"/>
        <w:rPr>
          <w:lang w:eastAsia="en-US"/>
        </w:rPr>
      </w:pPr>
    </w:p>
    <w:p w14:paraId="73C403FD" w14:textId="77777777" w:rsidR="003E3F85" w:rsidRPr="00850658" w:rsidRDefault="003E3F85" w:rsidP="003E3F85">
      <w:pPr>
        <w:numPr>
          <w:ilvl w:val="0"/>
          <w:numId w:val="2"/>
        </w:numPr>
        <w:tabs>
          <w:tab w:val="left" w:pos="709"/>
        </w:tabs>
        <w:suppressAutoHyphens/>
        <w:autoSpaceDE w:val="0"/>
        <w:jc w:val="both"/>
      </w:pPr>
      <w:bookmarkStart w:id="83" w:name="_Ref404685440"/>
      <w:r w:rsidRPr="00850658">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in § </w:t>
      </w:r>
      <w:r w:rsidR="009124BF" w:rsidRPr="00850658">
        <w:fldChar w:fldCharType="begin"/>
      </w:r>
      <w:r w:rsidR="009124BF" w:rsidRPr="00850658">
        <w:instrText xml:space="preserve"> REF _Ref409081615 \r \h  \* MERGEFORMAT </w:instrText>
      </w:r>
      <w:r w:rsidR="009124BF" w:rsidRPr="00850658">
        <w:fldChar w:fldCharType="separate"/>
      </w:r>
      <w:r w:rsidR="004504C3">
        <w:t>71</w:t>
      </w:r>
      <w:r w:rsidR="009124BF" w:rsidRPr="00850658">
        <w:fldChar w:fldCharType="end"/>
      </w:r>
      <w:r w:rsidR="009124BF" w:rsidRPr="00850658">
        <w:t xml:space="preserve"> </w:t>
      </w:r>
      <w:r w:rsidRPr="00850658">
        <w:t xml:space="preserve">above, at § 1; HRC, </w:t>
      </w:r>
      <w:r w:rsidRPr="00850658">
        <w:rPr>
          <w:i/>
        </w:rPr>
        <w:t>Abubakar Amirov and Aïzan Amirova v. Russi</w:t>
      </w:r>
      <w:r w:rsidRPr="00850658">
        <w:t>a</w:t>
      </w:r>
      <w:r w:rsidRPr="00850658">
        <w:rPr>
          <w:i/>
        </w:rPr>
        <w:t>n Federation</w:t>
      </w:r>
      <w:r w:rsidRPr="00850658">
        <w:t xml:space="preserve">, communication no. 1447/2006, views of 22 April 2009, § 11.2, </w:t>
      </w:r>
      <w:r w:rsidRPr="00850658">
        <w:rPr>
          <w:bCs/>
        </w:rPr>
        <w:t>CCPR/C/95/D/1447/2006</w:t>
      </w:r>
      <w:r w:rsidRPr="00850658">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84" w:name="_Ref343611663"/>
      <w:bookmarkEnd w:id="83"/>
    </w:p>
    <w:p w14:paraId="41D9F56D" w14:textId="77777777" w:rsidR="003E3F85" w:rsidRPr="00850658" w:rsidRDefault="003E3F85" w:rsidP="003E3F85">
      <w:pPr>
        <w:pStyle w:val="ListParagraph"/>
      </w:pPr>
    </w:p>
    <w:p w14:paraId="61A91B74" w14:textId="77777777" w:rsidR="003E3F85" w:rsidRPr="00850658" w:rsidRDefault="003E3F85" w:rsidP="003E3F85">
      <w:pPr>
        <w:numPr>
          <w:ilvl w:val="0"/>
          <w:numId w:val="2"/>
        </w:numPr>
        <w:tabs>
          <w:tab w:val="left" w:pos="709"/>
        </w:tabs>
        <w:suppressAutoHyphens/>
        <w:autoSpaceDE w:val="0"/>
        <w:jc w:val="both"/>
      </w:pPr>
      <w:bookmarkStart w:id="85" w:name="_Ref413921110"/>
      <w:r w:rsidRPr="00850658">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850658">
        <w:rPr>
          <w:i/>
        </w:rPr>
        <w:t>mutatis mutandis</w:t>
      </w:r>
      <w:r w:rsidRPr="00850658">
        <w:t xml:space="preserve">, ECtHR, </w:t>
      </w:r>
      <w:r w:rsidRPr="00850658">
        <w:rPr>
          <w:i/>
        </w:rPr>
        <w:t>R.R. and Others v. Hungary</w:t>
      </w:r>
      <w:r w:rsidRPr="00850658">
        <w:t xml:space="preserve">, no. 19400/11, judgment of 4 December 2012, §§ 28-32), as well as to consider the special vulnerability of displaced persons in post-conflict situations (see ECtHR [GC], </w:t>
      </w:r>
      <w:r w:rsidRPr="00850658">
        <w:rPr>
          <w:i/>
        </w:rPr>
        <w:t xml:space="preserve">Sargsyan v. Azerbaijan, </w:t>
      </w:r>
      <w:r w:rsidRPr="00850658">
        <w:t xml:space="preserve">no. 40167/06, decision of 14 December 2011, § 145; and ECtHR [GC], </w:t>
      </w:r>
      <w:r w:rsidRPr="00850658">
        <w:rPr>
          <w:i/>
        </w:rPr>
        <w:t xml:space="preserve">Chiragov </w:t>
      </w:r>
      <w:r w:rsidRPr="00850658">
        <w:rPr>
          <w:i/>
        </w:rPr>
        <w:lastRenderedPageBreak/>
        <w:t>and Others v. Armenia</w:t>
      </w:r>
      <w:r w:rsidRPr="00850658">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Pr="00850658">
        <w:fldChar w:fldCharType="begin"/>
      </w:r>
      <w:r w:rsidRPr="00850658">
        <w:instrText xml:space="preserve"> REF _Ref346123767 \r \h  \* MERGEFORMAT </w:instrText>
      </w:r>
      <w:r w:rsidRPr="00850658">
        <w:fldChar w:fldCharType="separate"/>
      </w:r>
      <w:r w:rsidR="004504C3">
        <w:t>18</w:t>
      </w:r>
      <w:r w:rsidRPr="00850658">
        <w:fldChar w:fldCharType="end"/>
      </w:r>
      <w:r w:rsidRPr="00850658">
        <w:t xml:space="preserve"> above).</w:t>
      </w:r>
      <w:bookmarkEnd w:id="84"/>
      <w:bookmarkEnd w:id="85"/>
    </w:p>
    <w:p w14:paraId="2F8F2E92" w14:textId="77777777" w:rsidR="003E3F85" w:rsidRPr="00850658" w:rsidRDefault="003E3F85" w:rsidP="003E3F85">
      <w:pPr>
        <w:pStyle w:val="ListParagraph"/>
        <w:suppressAutoHyphens w:val="0"/>
        <w:ind w:left="567"/>
        <w:contextualSpacing/>
        <w:jc w:val="both"/>
        <w:rPr>
          <w:lang w:eastAsia="en-US"/>
        </w:rPr>
      </w:pPr>
    </w:p>
    <w:p w14:paraId="22FA736E" w14:textId="77777777" w:rsidR="003E3F85" w:rsidRPr="00850658" w:rsidRDefault="003E3F85" w:rsidP="003E3F85">
      <w:pPr>
        <w:numPr>
          <w:ilvl w:val="0"/>
          <w:numId w:val="2"/>
        </w:numPr>
        <w:tabs>
          <w:tab w:val="left" w:pos="709"/>
        </w:tabs>
        <w:suppressAutoHyphens/>
        <w:autoSpaceDE w:val="0"/>
        <w:jc w:val="both"/>
        <w:rPr>
          <w:rStyle w:val="sb8d990e2"/>
        </w:rPr>
      </w:pPr>
      <w:bookmarkStart w:id="86" w:name="_Ref366163789"/>
      <w:r w:rsidRPr="00850658">
        <w:rPr>
          <w:rStyle w:val="sb8d990e2"/>
        </w:rPr>
        <w:t xml:space="preserve">The Panel </w:t>
      </w:r>
      <w:r w:rsidRPr="00850658">
        <w:t>further</w:t>
      </w:r>
      <w:r w:rsidRPr="00850658">
        <w:rPr>
          <w:rStyle w:val="sb8d990e2"/>
        </w:rPr>
        <w:t xml:space="preserve"> notes that its task is not to review relevant practices or alleged obstacles to the conduct of effective investigations </w:t>
      </w:r>
      <w:r w:rsidRPr="00850658">
        <w:rPr>
          <w:rStyle w:val="s6b621b36"/>
          <w:i/>
        </w:rPr>
        <w:t xml:space="preserve">in </w:t>
      </w:r>
      <w:r w:rsidRPr="00850658">
        <w:rPr>
          <w:rStyle w:val="wordhighlighted"/>
          <w:i/>
        </w:rPr>
        <w:t>abstracto</w:t>
      </w:r>
      <w:r w:rsidRPr="00850658">
        <w:rPr>
          <w:rStyle w:val="sb8d990e2"/>
        </w:rPr>
        <w:t>, but only in relation to their specific </w:t>
      </w:r>
      <w:r w:rsidRPr="00850658">
        <w:t>application</w:t>
      </w:r>
      <w:r w:rsidRPr="00850658">
        <w:rPr>
          <w:rStyle w:val="sb8d990e2"/>
        </w:rPr>
        <w:t xml:space="preserve"> to the particular circumstances of a situation subject of a complaint before it (see, ECtHR, </w:t>
      </w:r>
      <w:r w:rsidRPr="00850658">
        <w:rPr>
          <w:rStyle w:val="s6b621b36"/>
          <w:i/>
        </w:rPr>
        <w:t>Brogan and Others v. the United Kingdom</w:t>
      </w:r>
      <w:r w:rsidRPr="00850658">
        <w:rPr>
          <w:rStyle w:val="sb8d990e2"/>
        </w:rPr>
        <w:t xml:space="preserve">, </w:t>
      </w:r>
      <w:r w:rsidRPr="00850658">
        <w:rPr>
          <w:rStyle w:val="column01"/>
        </w:rPr>
        <w:t>judgment of</w:t>
      </w:r>
      <w:r w:rsidRPr="00850658">
        <w:rPr>
          <w:rStyle w:val="sb8d990e2"/>
        </w:rPr>
        <w:t xml:space="preserve"> 29 November 1988,</w:t>
      </w:r>
      <w:r w:rsidRPr="00850658">
        <w:t xml:space="preserve"> </w:t>
      </w:r>
      <w:r w:rsidRPr="00850658">
        <w:rPr>
          <w:rStyle w:val="sb8d990e2"/>
        </w:rPr>
        <w:t xml:space="preserve">§ 53, Series A no. 145-B). </w:t>
      </w:r>
      <w:r w:rsidRPr="00850658">
        <w:t xml:space="preserve">The Panel thus agrees with the SRSG that the nature and degree of scrutiny to determine whether the effectiveness of the investigation satisfies the minimum threshold depends on the circumstances of the particular case. </w:t>
      </w:r>
      <w:r w:rsidRPr="00850658">
        <w:rPr>
          <w:rStyle w:val="sb8d990e2"/>
        </w:rPr>
        <w:t>For these reasons, the Panel considers that it will establish with regard to each case if all reasonable steps were taken to conduct an effective investigation as prescribed by Article 2,</w:t>
      </w:r>
      <w:r w:rsidRPr="00850658">
        <w:t xml:space="preserve"> </w:t>
      </w:r>
      <w:r w:rsidRPr="00850658">
        <w:rPr>
          <w:rStyle w:val="sb8d990e2"/>
        </w:rPr>
        <w:t>having regard to the realities of the investigative work in Kosovo.</w:t>
      </w:r>
      <w:bookmarkEnd w:id="86"/>
    </w:p>
    <w:p w14:paraId="7D2AF502" w14:textId="77777777" w:rsidR="003E3F85" w:rsidRPr="00850658" w:rsidRDefault="003E3F85" w:rsidP="003E3F85">
      <w:pPr>
        <w:pStyle w:val="ListParagraph"/>
        <w:rPr>
          <w:rStyle w:val="sb8d990e2"/>
          <w:lang w:eastAsia="en-US"/>
        </w:rPr>
      </w:pPr>
    </w:p>
    <w:p w14:paraId="74065AD0" w14:textId="77777777" w:rsidR="003E3F85" w:rsidRPr="00850658" w:rsidRDefault="003E3F85" w:rsidP="00B41BE6">
      <w:pPr>
        <w:numPr>
          <w:ilvl w:val="0"/>
          <w:numId w:val="2"/>
        </w:numPr>
        <w:tabs>
          <w:tab w:val="left" w:pos="709"/>
        </w:tabs>
        <w:suppressAutoHyphens/>
        <w:autoSpaceDE w:val="0"/>
        <w:jc w:val="both"/>
        <w:rPr>
          <w:lang w:eastAsia="nl-NL"/>
        </w:rPr>
      </w:pPr>
      <w:r w:rsidRPr="00850658">
        <w:t>Lastly, in response to the SRSG’s objection that Article 2 must be interpreted in a way which does not impose an impossible or disproportionate burden on the authorities, e</w:t>
      </w:r>
      <w:r w:rsidR="00622236" w:rsidRPr="00850658">
        <w:t>ither in the context of policin</w:t>
      </w:r>
      <w:r w:rsidRPr="00850658">
        <w:t xml:space="preserve">g activities or that of priorities and resources, the Panel takes into account that the European Court has established that what amounts to an impossible and/or disproportionate burden must be measured by the very particular facts and contexts (see ECtHR, </w:t>
      </w:r>
      <w:r w:rsidRPr="00850658">
        <w:rPr>
          <w:i/>
        </w:rPr>
        <w:t>Palić v. Bosnia and Herzegovina,</w:t>
      </w:r>
      <w:r w:rsidRPr="00850658">
        <w:t xml:space="preserve"> cited in § </w:t>
      </w:r>
      <w:r w:rsidRPr="00850658">
        <w:fldChar w:fldCharType="begin"/>
      </w:r>
      <w:r w:rsidRPr="00850658">
        <w:instrText xml:space="preserve"> REF _Ref366239979 \r \h  \* MERGEFORMAT </w:instrText>
      </w:r>
      <w:r w:rsidRPr="00850658">
        <w:fldChar w:fldCharType="separate"/>
      </w:r>
      <w:r w:rsidR="004504C3">
        <w:t>75</w:t>
      </w:r>
      <w:r w:rsidRPr="00850658">
        <w:fldChar w:fldCharType="end"/>
      </w:r>
      <w:r w:rsidRPr="00850658">
        <w:t xml:space="preserve"> above, at § 70; </w:t>
      </w:r>
      <w:r w:rsidR="00B41BE6" w:rsidRPr="00850658">
        <w:t xml:space="preserve">ECtHR, </w:t>
      </w:r>
      <w:r w:rsidRPr="00850658">
        <w:rPr>
          <w:i/>
        </w:rPr>
        <w:t>Brecknell v. The United Kingdom,</w:t>
      </w:r>
      <w:r w:rsidRPr="00850658">
        <w:t xml:space="preserve"> no. 32457/04, judgment of 27 November 2007, § 62).</w:t>
      </w:r>
    </w:p>
    <w:p w14:paraId="32D6DEF7" w14:textId="77777777" w:rsidR="00CE4484" w:rsidRPr="00850658" w:rsidRDefault="00CE4484" w:rsidP="00CE4484">
      <w:pPr>
        <w:pStyle w:val="ListParagraph"/>
        <w:rPr>
          <w:lang w:eastAsia="nl-NL"/>
        </w:rPr>
      </w:pPr>
    </w:p>
    <w:p w14:paraId="783477E1" w14:textId="77777777" w:rsidR="00CE4484" w:rsidRPr="00850658" w:rsidRDefault="00CE4484" w:rsidP="00CE4484">
      <w:pPr>
        <w:numPr>
          <w:ilvl w:val="0"/>
          <w:numId w:val="2"/>
        </w:numPr>
        <w:contextualSpacing/>
        <w:jc w:val="both"/>
        <w:rPr>
          <w:rStyle w:val="sb8d990e2"/>
        </w:rPr>
      </w:pPr>
      <w:bookmarkStart w:id="87" w:name="_Ref403834230"/>
      <w:r w:rsidRPr="00850658">
        <w:rPr>
          <w:rStyle w:val="sb8d990e2"/>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and failure to provide family members with minimum necessary information on the status of the investigation  (compare with ECtHR, </w:t>
      </w:r>
      <w:r w:rsidRPr="00850658">
        <w:rPr>
          <w:rStyle w:val="sb8d990e2"/>
          <w:i/>
        </w:rPr>
        <w:t>Aslakhanova and Others v. Russia</w:t>
      </w:r>
      <w:r w:rsidRPr="00850658">
        <w:rPr>
          <w:rStyle w:val="sb8d990e2"/>
        </w:rPr>
        <w:t xml:space="preserve">, cited in § </w:t>
      </w:r>
      <w:r w:rsidRPr="00850658">
        <w:rPr>
          <w:rStyle w:val="sb8d990e2"/>
        </w:rPr>
        <w:fldChar w:fldCharType="begin"/>
      </w:r>
      <w:r w:rsidRPr="00850658">
        <w:rPr>
          <w:rStyle w:val="sb8d990e2"/>
        </w:rPr>
        <w:instrText xml:space="preserve"> REF _Ref373950745 \r \h </w:instrText>
      </w:r>
      <w:r w:rsidR="00393E7A" w:rsidRPr="00850658">
        <w:rPr>
          <w:rStyle w:val="sb8d990e2"/>
        </w:rPr>
        <w:instrText xml:space="preserve"> \* MERGEFORMAT </w:instrText>
      </w:r>
      <w:r w:rsidRPr="00850658">
        <w:rPr>
          <w:rStyle w:val="sb8d990e2"/>
        </w:rPr>
      </w:r>
      <w:r w:rsidRPr="00850658">
        <w:rPr>
          <w:rStyle w:val="sb8d990e2"/>
        </w:rPr>
        <w:fldChar w:fldCharType="separate"/>
      </w:r>
      <w:r w:rsidR="004504C3">
        <w:rPr>
          <w:rStyle w:val="sb8d990e2"/>
        </w:rPr>
        <w:t>78</w:t>
      </w:r>
      <w:r w:rsidRPr="00850658">
        <w:rPr>
          <w:rStyle w:val="sb8d990e2"/>
        </w:rPr>
        <w:fldChar w:fldCharType="end"/>
      </w:r>
      <w:r w:rsidRPr="00850658">
        <w:rPr>
          <w:rStyle w:val="sb8d990e2"/>
        </w:rPr>
        <w:t xml:space="preserve"> above, §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87"/>
    </w:p>
    <w:p w14:paraId="0FE7DDE4" w14:textId="77777777" w:rsidR="003E3F85" w:rsidRPr="00850658" w:rsidRDefault="003E3F85" w:rsidP="003E3F85">
      <w:pPr>
        <w:pStyle w:val="ListParagraph"/>
        <w:rPr>
          <w:rStyle w:val="sb8d990e2"/>
          <w:lang w:eastAsia="nl-NL"/>
        </w:rPr>
      </w:pPr>
    </w:p>
    <w:p w14:paraId="4D381DB6" w14:textId="77777777" w:rsidR="003E3F85" w:rsidRPr="00850658" w:rsidRDefault="003E3F85" w:rsidP="003E3F85">
      <w:pPr>
        <w:pStyle w:val="ListParagraph"/>
        <w:numPr>
          <w:ilvl w:val="0"/>
          <w:numId w:val="7"/>
        </w:numPr>
        <w:contextualSpacing/>
        <w:jc w:val="both"/>
        <w:rPr>
          <w:i/>
        </w:rPr>
      </w:pPr>
      <w:r w:rsidRPr="00850658">
        <w:rPr>
          <w:i/>
        </w:rPr>
        <w:t>Compliance with Article 2 in the present case</w:t>
      </w:r>
    </w:p>
    <w:p w14:paraId="7CD8BD8F" w14:textId="77777777" w:rsidR="002A4749" w:rsidRPr="00850658" w:rsidRDefault="002A4749" w:rsidP="003E3F85"/>
    <w:p w14:paraId="21ED0D1D" w14:textId="1889C8B3" w:rsidR="00923D1D" w:rsidRPr="00850658" w:rsidRDefault="00CF4DD4" w:rsidP="00923D1D">
      <w:pPr>
        <w:numPr>
          <w:ilvl w:val="0"/>
          <w:numId w:val="2"/>
        </w:numPr>
        <w:tabs>
          <w:tab w:val="left" w:pos="360"/>
        </w:tabs>
        <w:suppressAutoHyphens/>
        <w:autoSpaceDE w:val="0"/>
        <w:jc w:val="both"/>
      </w:pPr>
      <w:bookmarkStart w:id="88" w:name="_Ref414607885"/>
      <w:r w:rsidRPr="00850658">
        <w:t xml:space="preserve">Turning to the particulars of this case, the </w:t>
      </w:r>
      <w:r w:rsidR="00923D1D" w:rsidRPr="00850658">
        <w:t>SRSG</w:t>
      </w:r>
      <w:r w:rsidR="00247B84" w:rsidRPr="00850658">
        <w:t xml:space="preserve"> states that</w:t>
      </w:r>
      <w:r w:rsidR="00923D1D" w:rsidRPr="00850658">
        <w:t xml:space="preserve"> UNMIK became aware of </w:t>
      </w:r>
      <w:r w:rsidR="0045100B" w:rsidRPr="00850658">
        <w:t xml:space="preserve">the </w:t>
      </w:r>
      <w:r w:rsidR="00923D1D" w:rsidRPr="00850658">
        <w:t xml:space="preserve">disappearance </w:t>
      </w:r>
      <w:r w:rsidR="0045100B" w:rsidRPr="00850658">
        <w:t xml:space="preserve">of Mr Jovan Jovanović </w:t>
      </w:r>
      <w:r w:rsidR="00923D1D" w:rsidRPr="00850658">
        <w:t xml:space="preserve">sometime in 2003. </w:t>
      </w:r>
      <w:r w:rsidR="00596544" w:rsidRPr="00850658">
        <w:t xml:space="preserve">The Panel notes that according to the file, </w:t>
      </w:r>
      <w:r w:rsidRPr="00850658">
        <w:t xml:space="preserve">UNMIK </w:t>
      </w:r>
      <w:r w:rsidR="00624C2B" w:rsidRPr="00850658">
        <w:t xml:space="preserve">was made </w:t>
      </w:r>
      <w:r w:rsidRPr="00850658">
        <w:t xml:space="preserve">aware of </w:t>
      </w:r>
      <w:r w:rsidR="00624C2B" w:rsidRPr="00850658">
        <w:t xml:space="preserve">his </w:t>
      </w:r>
      <w:r w:rsidR="00AD7F08" w:rsidRPr="00850658">
        <w:t>disappearance</w:t>
      </w:r>
      <w:r w:rsidR="00596544" w:rsidRPr="00850658">
        <w:t xml:space="preserve"> already</w:t>
      </w:r>
      <w:r w:rsidR="00DC2A41" w:rsidRPr="00850658">
        <w:t xml:space="preserve"> </w:t>
      </w:r>
      <w:r w:rsidR="00596544" w:rsidRPr="00850658">
        <w:t xml:space="preserve">in 2001 when the </w:t>
      </w:r>
      <w:r w:rsidR="00624C2B" w:rsidRPr="00850658">
        <w:t xml:space="preserve">ICRC </w:t>
      </w:r>
      <w:r w:rsidR="00596544" w:rsidRPr="00850658">
        <w:lastRenderedPageBreak/>
        <w:t>submitted</w:t>
      </w:r>
      <w:r w:rsidR="00923D1D" w:rsidRPr="00850658">
        <w:t xml:space="preserve"> </w:t>
      </w:r>
      <w:r w:rsidR="0045100B" w:rsidRPr="00850658">
        <w:t xml:space="preserve">Mr Jovan Jovanović’s </w:t>
      </w:r>
      <w:r w:rsidR="00923D1D" w:rsidRPr="00850658">
        <w:t>name an</w:t>
      </w:r>
      <w:r w:rsidR="006B3488" w:rsidRPr="00850658">
        <w:t>d</w:t>
      </w:r>
      <w:r w:rsidR="00923D1D" w:rsidRPr="00850658">
        <w:t xml:space="preserve"> ante-mortem </w:t>
      </w:r>
      <w:r w:rsidR="00624C2B" w:rsidRPr="00850658">
        <w:t xml:space="preserve">details </w:t>
      </w:r>
      <w:r w:rsidR="00923D1D" w:rsidRPr="00850658">
        <w:t xml:space="preserve">(see § </w:t>
      </w:r>
      <w:r w:rsidR="00E750A3" w:rsidRPr="00850658">
        <w:fldChar w:fldCharType="begin"/>
      </w:r>
      <w:r w:rsidR="00E750A3" w:rsidRPr="00850658">
        <w:instrText xml:space="preserve"> REF _Ref413869946 \r \h </w:instrText>
      </w:r>
      <w:r w:rsidR="00AB364B" w:rsidRPr="00850658">
        <w:instrText xml:space="preserve"> \* MERGEFORMAT </w:instrText>
      </w:r>
      <w:r w:rsidR="00E750A3" w:rsidRPr="00850658">
        <w:fldChar w:fldCharType="separate"/>
      </w:r>
      <w:r w:rsidR="004504C3">
        <w:t>25</w:t>
      </w:r>
      <w:r w:rsidR="00E750A3" w:rsidRPr="00850658">
        <w:fldChar w:fldCharType="end"/>
      </w:r>
      <w:r w:rsidR="00E750A3" w:rsidRPr="00850658">
        <w:t xml:space="preserve"> </w:t>
      </w:r>
      <w:r w:rsidR="00923D1D" w:rsidRPr="00850658">
        <w:t>above)</w:t>
      </w:r>
      <w:r w:rsidR="00596544" w:rsidRPr="00850658">
        <w:t xml:space="preserve"> to it</w:t>
      </w:r>
      <w:r w:rsidRPr="00850658">
        <w:t>.</w:t>
      </w:r>
      <w:bookmarkEnd w:id="88"/>
      <w:r w:rsidR="00247B84" w:rsidRPr="00850658">
        <w:t xml:space="preserve"> Therefore, at the latest by this time, UNMIK had the responsibility to conduct an investigation into Mr Jovan Jovanović’s abduction and disappearance. </w:t>
      </w:r>
    </w:p>
    <w:p w14:paraId="1E1CD63F" w14:textId="77777777" w:rsidR="00CF4DD4" w:rsidRPr="00850658" w:rsidRDefault="00923D1D" w:rsidP="00923D1D">
      <w:pPr>
        <w:tabs>
          <w:tab w:val="left" w:pos="360"/>
        </w:tabs>
        <w:suppressAutoHyphens/>
        <w:autoSpaceDE w:val="0"/>
        <w:ind w:left="360"/>
        <w:jc w:val="both"/>
      </w:pPr>
      <w:r w:rsidRPr="00850658">
        <w:t xml:space="preserve"> </w:t>
      </w:r>
    </w:p>
    <w:p w14:paraId="5353F804" w14:textId="6C9E5E6C" w:rsidR="00CF4DD4" w:rsidRPr="00850658" w:rsidRDefault="00CF4DD4" w:rsidP="00CF4DD4">
      <w:pPr>
        <w:numPr>
          <w:ilvl w:val="0"/>
          <w:numId w:val="2"/>
        </w:numPr>
        <w:tabs>
          <w:tab w:val="left" w:pos="709"/>
        </w:tabs>
        <w:suppressAutoHyphens/>
        <w:autoSpaceDE w:val="0"/>
        <w:jc w:val="both"/>
        <w:rPr>
          <w:b/>
          <w:i/>
          <w:u w:val="single"/>
        </w:rPr>
      </w:pPr>
      <w:r w:rsidRPr="00850658">
        <w:t xml:space="preserve">The purpose of this investigation was to </w:t>
      </w:r>
      <w:r w:rsidRPr="00850658">
        <w:rPr>
          <w:lang w:eastAsia="en-GB"/>
        </w:rPr>
        <w:t xml:space="preserve">discover the truth about the circumstances of </w:t>
      </w:r>
      <w:r w:rsidR="00AD7F08" w:rsidRPr="00850658">
        <w:t xml:space="preserve">Mr </w:t>
      </w:r>
      <w:r w:rsidR="00923D1D" w:rsidRPr="00850658">
        <w:t xml:space="preserve">Jovan Jovanović’s </w:t>
      </w:r>
      <w:r w:rsidR="00AD7F08" w:rsidRPr="00850658">
        <w:t>abduction and disappearance</w:t>
      </w:r>
      <w:r w:rsidR="0045100B" w:rsidRPr="00850658">
        <w:t xml:space="preserve">, to </w:t>
      </w:r>
      <w:r w:rsidR="00624C2B" w:rsidRPr="00850658">
        <w:t>establish his fate,</w:t>
      </w:r>
      <w:r w:rsidRPr="00850658">
        <w:t xml:space="preserve"> identify the perpetrators</w:t>
      </w:r>
      <w:r w:rsidR="00624C2B" w:rsidRPr="00850658">
        <w:t xml:space="preserve"> and bring them to justice</w:t>
      </w:r>
      <w:r w:rsidRPr="00850658">
        <w:rPr>
          <w:lang w:eastAsia="en-GB"/>
        </w:rPr>
        <w:t xml:space="preserve">. To fulfil these purposes, those conducting the investigation were required to seek, collect and preserve evidentiary material; to identify possible </w:t>
      </w:r>
      <w:r w:rsidRPr="00850658">
        <w:t>witnesses</w:t>
      </w:r>
      <w:r w:rsidRPr="00850658">
        <w:rPr>
          <w:lang w:eastAsia="en-GB"/>
        </w:rPr>
        <w:t xml:space="preserve"> and to obtain their statements; to identify the perpetrator(s) and bring them before a competent court established by law.</w:t>
      </w:r>
    </w:p>
    <w:p w14:paraId="575E9615" w14:textId="77777777" w:rsidR="00CF4DD4" w:rsidRPr="00850658" w:rsidRDefault="00CF4DD4" w:rsidP="00CF4DD4">
      <w:pPr>
        <w:pStyle w:val="ListParagraph"/>
        <w:suppressAutoHyphens w:val="0"/>
        <w:ind w:left="360"/>
        <w:contextualSpacing/>
        <w:jc w:val="both"/>
        <w:rPr>
          <w:lang w:eastAsia="en-US"/>
        </w:rPr>
      </w:pPr>
    </w:p>
    <w:p w14:paraId="62B07B4B" w14:textId="77777777" w:rsidR="00CF4DD4" w:rsidRPr="00850658" w:rsidRDefault="00CF4DD4" w:rsidP="00CF4DD4">
      <w:pPr>
        <w:numPr>
          <w:ilvl w:val="0"/>
          <w:numId w:val="2"/>
        </w:numPr>
        <w:tabs>
          <w:tab w:val="left" w:pos="709"/>
        </w:tabs>
        <w:suppressAutoHyphens/>
        <w:autoSpaceDE w:val="0"/>
        <w:jc w:val="both"/>
        <w:rPr>
          <w:lang w:eastAsia="en-GB"/>
        </w:rPr>
      </w:pPr>
      <w:r w:rsidRPr="00850658">
        <w:rPr>
          <w:lang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850658">
        <w:rPr>
          <w:i/>
          <w:lang w:eastAsia="en-GB"/>
        </w:rPr>
        <w:t>inter alia</w:t>
      </w:r>
      <w:r w:rsidRPr="00850658">
        <w:rPr>
          <w:lang w:eastAsia="en-GB"/>
        </w:rPr>
        <w:t xml:space="preserve"> eye-witness </w:t>
      </w:r>
      <w:r w:rsidRPr="00850658">
        <w:t>testimony</w:t>
      </w:r>
      <w:r w:rsidRPr="00850658">
        <w:rPr>
          <w:lang w:eastAsia="en-GB"/>
        </w:rPr>
        <w:t xml:space="preserve">, forensic evidence etc. The investigation must also ensure a sufficient element of public scrutiny and be reasonably </w:t>
      </w:r>
      <w:r w:rsidRPr="00850658">
        <w:t>accessible to the victim’s family. T</w:t>
      </w:r>
      <w:r w:rsidRPr="00850658">
        <w:rPr>
          <w:lang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850658">
        <w:rPr>
          <w:bCs/>
        </w:rPr>
        <w:t xml:space="preserve"> (see §§ </w:t>
      </w:r>
      <w:r w:rsidRPr="00850658">
        <w:fldChar w:fldCharType="begin"/>
      </w:r>
      <w:r w:rsidRPr="00850658">
        <w:rPr>
          <w:bCs/>
        </w:rPr>
        <w:instrText xml:space="preserve"> REF _Ref366239979 \r \h </w:instrText>
      </w:r>
      <w:r w:rsidR="00393E7A" w:rsidRPr="00850658">
        <w:instrText xml:space="preserve"> \* MERGEFORMAT </w:instrText>
      </w:r>
      <w:r w:rsidRPr="00850658">
        <w:fldChar w:fldCharType="separate"/>
      </w:r>
      <w:r w:rsidR="004504C3">
        <w:rPr>
          <w:bCs/>
        </w:rPr>
        <w:t>75</w:t>
      </w:r>
      <w:r w:rsidRPr="00850658">
        <w:fldChar w:fldCharType="end"/>
      </w:r>
      <w:r w:rsidRPr="00850658">
        <w:rPr>
          <w:bCs/>
        </w:rPr>
        <w:t xml:space="preserve"> - </w:t>
      </w:r>
      <w:r w:rsidRPr="00850658">
        <w:fldChar w:fldCharType="begin"/>
      </w:r>
      <w:r w:rsidRPr="00850658">
        <w:rPr>
          <w:bCs/>
        </w:rPr>
        <w:instrText xml:space="preserve"> REF _Ref401245516 \r \h </w:instrText>
      </w:r>
      <w:r w:rsidR="00393E7A" w:rsidRPr="00850658">
        <w:instrText xml:space="preserve"> \* MERGEFORMAT </w:instrText>
      </w:r>
      <w:r w:rsidRPr="00850658">
        <w:fldChar w:fldCharType="separate"/>
      </w:r>
      <w:r w:rsidR="004504C3">
        <w:rPr>
          <w:bCs/>
        </w:rPr>
        <w:t>76</w:t>
      </w:r>
      <w:r w:rsidRPr="00850658">
        <w:fldChar w:fldCharType="end"/>
      </w:r>
      <w:r w:rsidRPr="00850658">
        <w:rPr>
          <w:bCs/>
        </w:rPr>
        <w:t xml:space="preserve"> above).</w:t>
      </w:r>
    </w:p>
    <w:p w14:paraId="2776DA05" w14:textId="77777777" w:rsidR="00CF4DD4" w:rsidRPr="00850658" w:rsidRDefault="00CF4DD4" w:rsidP="00B33743"/>
    <w:p w14:paraId="1596A944" w14:textId="77777777" w:rsidR="00CF4DD4" w:rsidRPr="00850658" w:rsidRDefault="00CF4DD4" w:rsidP="00CF4DD4">
      <w:pPr>
        <w:numPr>
          <w:ilvl w:val="0"/>
          <w:numId w:val="2"/>
        </w:numPr>
        <w:tabs>
          <w:tab w:val="left" w:pos="709"/>
        </w:tabs>
        <w:suppressAutoHyphens/>
        <w:autoSpaceDE w:val="0"/>
        <w:jc w:val="both"/>
      </w:pPr>
      <w:bookmarkStart w:id="89" w:name="_Ref379796585"/>
      <w:r w:rsidRPr="00850658">
        <w:t xml:space="preserve">The Panel notes in this regard that according to the 2000 Annual Report of UNMIK Police, the complete executive policing powers in the </w:t>
      </w:r>
      <w:r w:rsidR="0045100B" w:rsidRPr="00850658">
        <w:t>Prizren</w:t>
      </w:r>
      <w:r w:rsidRPr="00850658">
        <w:t xml:space="preserve"> region, including criminal investigations, were under the full control of UNMIK Police from </w:t>
      </w:r>
      <w:r w:rsidR="00BF0E5F" w:rsidRPr="00850658">
        <w:t>27 October</w:t>
      </w:r>
      <w:r w:rsidRPr="00850658">
        <w:t xml:space="preserve"> 1999. Therefore, it was UNMIK’s responsibility to ensure, </w:t>
      </w:r>
      <w:r w:rsidRPr="00850658">
        <w:rPr>
          <w:i/>
        </w:rPr>
        <w:t>first</w:t>
      </w:r>
      <w:r w:rsidRPr="00850658">
        <w:t xml:space="preserve">, that the investigation is conducted expeditiously and efficiently; </w:t>
      </w:r>
      <w:r w:rsidRPr="00850658">
        <w:rPr>
          <w:i/>
        </w:rPr>
        <w:t>second</w:t>
      </w:r>
      <w:r w:rsidRPr="00850658">
        <w:t xml:space="preserve">, that all relevant investigative material is properly handed over to the authority taking over responsibility for the investigation (EULEX); and </w:t>
      </w:r>
      <w:r w:rsidRPr="00850658">
        <w:rPr>
          <w:i/>
        </w:rPr>
        <w:t>third</w:t>
      </w:r>
      <w:r w:rsidRPr="00850658">
        <w:t>, that the investigative files could be traced and retrieved, should a need for that arise at any later stage.</w:t>
      </w:r>
      <w:bookmarkEnd w:id="89"/>
    </w:p>
    <w:p w14:paraId="4FE85910" w14:textId="77777777" w:rsidR="003E3F85" w:rsidRPr="00850658" w:rsidRDefault="003E3F85" w:rsidP="00375153">
      <w:pPr>
        <w:jc w:val="both"/>
      </w:pPr>
    </w:p>
    <w:p w14:paraId="1FAD9FF8" w14:textId="50AC5CFA" w:rsidR="00060C2E" w:rsidRPr="00850658" w:rsidRDefault="00060C2E" w:rsidP="00060C2E">
      <w:pPr>
        <w:numPr>
          <w:ilvl w:val="0"/>
          <w:numId w:val="2"/>
        </w:numPr>
        <w:tabs>
          <w:tab w:val="left" w:pos="709"/>
        </w:tabs>
        <w:suppressAutoHyphens/>
        <w:autoSpaceDE w:val="0"/>
        <w:ind w:left="450" w:hanging="450"/>
        <w:jc w:val="both"/>
      </w:pPr>
      <w:r w:rsidRPr="00850658">
        <w:rPr>
          <w:lang w:eastAsia="en-GB"/>
        </w:rPr>
        <w:t>The</w:t>
      </w:r>
      <w:r w:rsidRPr="00850658">
        <w:t xml:space="preserve"> Panel notes that there were obvious shortcomings in the conduct of the investigation from its </w:t>
      </w:r>
      <w:r w:rsidRPr="00850658">
        <w:rPr>
          <w:lang w:eastAsia="en-GB"/>
        </w:rPr>
        <w:t>inception,</w:t>
      </w:r>
      <w:r w:rsidRPr="00850658">
        <w:t xml:space="preserve"> having in </w:t>
      </w:r>
      <w:proofErr w:type="gramStart"/>
      <w:r w:rsidRPr="00850658">
        <w:t>mind</w:t>
      </w:r>
      <w:proofErr w:type="gramEnd"/>
      <w:r w:rsidRPr="00850658">
        <w:t xml:space="preserve"> that </w:t>
      </w:r>
      <w:r w:rsidRPr="00850658">
        <w:rPr>
          <w:bCs/>
        </w:rPr>
        <w:t>that the initial stage of the investigation is of the utmost importance.</w:t>
      </w:r>
      <w:r w:rsidRPr="00850658">
        <w:t xml:space="preserve"> However, in light of the considerations developed above concerning its limited temporal jurisdiction (see § </w:t>
      </w:r>
      <w:r w:rsidR="008F290C" w:rsidRPr="00850658">
        <w:fldChar w:fldCharType="begin"/>
      </w:r>
      <w:r w:rsidR="008F290C" w:rsidRPr="00850658">
        <w:instrText xml:space="preserve"> REF _Ref346123885 \r \h  \* MERGEFORMAT </w:instrText>
      </w:r>
      <w:r w:rsidR="008F290C" w:rsidRPr="00850658">
        <w:fldChar w:fldCharType="separate"/>
      </w:r>
      <w:r w:rsidR="004504C3">
        <w:t>48</w:t>
      </w:r>
      <w:r w:rsidR="008F290C" w:rsidRPr="00850658">
        <w:fldChar w:fldCharType="end"/>
      </w:r>
      <w:r w:rsidR="008F290C" w:rsidRPr="00850658">
        <w:t xml:space="preserve"> </w:t>
      </w:r>
      <w:r w:rsidRPr="00850658">
        <w:t xml:space="preserve">above), the Panel recalls that it is competent </w:t>
      </w:r>
      <w:r w:rsidRPr="00850658">
        <w:rPr>
          <w:i/>
        </w:rPr>
        <w:t>ratione temporis</w:t>
      </w:r>
      <w:r w:rsidRPr="00850658">
        <w:t xml:space="preserve"> to evaluate the compliance of the investigation with Article 2 of the ECHR only for the period after 23 April 2005, while taking into consideration the state of the case at that date (see ECtHR, </w:t>
      </w:r>
      <w:r w:rsidRPr="00850658">
        <w:rPr>
          <w:i/>
        </w:rPr>
        <w:t>Palić v. Bosnia and Herzegovina,</w:t>
      </w:r>
      <w:r w:rsidRPr="00850658">
        <w:t xml:space="preserve"> cited in § </w:t>
      </w:r>
      <w:r w:rsidR="00006A7B" w:rsidRPr="00850658">
        <w:fldChar w:fldCharType="begin"/>
      </w:r>
      <w:r w:rsidR="00006A7B" w:rsidRPr="00850658">
        <w:instrText xml:space="preserve"> REF _Ref366239979 \r \h </w:instrText>
      </w:r>
      <w:r w:rsidR="00850658" w:rsidRPr="00850658">
        <w:instrText xml:space="preserve"> \* MERGEFORMAT </w:instrText>
      </w:r>
      <w:r w:rsidR="00006A7B" w:rsidRPr="00850658">
        <w:fldChar w:fldCharType="separate"/>
      </w:r>
      <w:r w:rsidR="004504C3">
        <w:t>75</w:t>
      </w:r>
      <w:r w:rsidR="00006A7B" w:rsidRPr="00850658">
        <w:fldChar w:fldCharType="end"/>
      </w:r>
      <w:r w:rsidRPr="00850658">
        <w:t xml:space="preserve"> above, at § 70). The period under review ends on 9 December 2008, with EULEX taking over responsibility in the area of administration of justice (see § </w:t>
      </w:r>
      <w:r w:rsidR="008F290C" w:rsidRPr="00850658">
        <w:fldChar w:fldCharType="begin"/>
      </w:r>
      <w:r w:rsidR="008F290C" w:rsidRPr="00850658">
        <w:instrText xml:space="preserve"> REF _Ref346123927 \r \h  \* MERGEFORMAT </w:instrText>
      </w:r>
      <w:r w:rsidR="008F290C" w:rsidRPr="00850658">
        <w:fldChar w:fldCharType="separate"/>
      </w:r>
      <w:r w:rsidR="004504C3">
        <w:t>20</w:t>
      </w:r>
      <w:r w:rsidR="008F290C" w:rsidRPr="00850658">
        <w:fldChar w:fldCharType="end"/>
      </w:r>
      <w:r w:rsidR="008F290C" w:rsidRPr="00850658">
        <w:t xml:space="preserve"> </w:t>
      </w:r>
      <w:r w:rsidRPr="00850658">
        <w:t>above).</w:t>
      </w:r>
    </w:p>
    <w:p w14:paraId="62DEA8CF" w14:textId="77777777" w:rsidR="00060C2E" w:rsidRPr="00850658" w:rsidRDefault="00060C2E" w:rsidP="00060C2E">
      <w:pPr>
        <w:pStyle w:val="ListParagraph"/>
        <w:rPr>
          <w:bCs/>
        </w:rPr>
      </w:pPr>
    </w:p>
    <w:p w14:paraId="12FF047D" w14:textId="5588C3D8" w:rsidR="00060C2E" w:rsidRPr="00850658" w:rsidRDefault="00060C2E" w:rsidP="00060C2E">
      <w:pPr>
        <w:numPr>
          <w:ilvl w:val="0"/>
          <w:numId w:val="2"/>
        </w:numPr>
        <w:tabs>
          <w:tab w:val="left" w:pos="709"/>
        </w:tabs>
        <w:suppressAutoHyphens/>
        <w:autoSpaceDE w:val="0"/>
        <w:ind w:left="450" w:hanging="450"/>
        <w:jc w:val="both"/>
      </w:pPr>
      <w:r w:rsidRPr="00850658">
        <w:t>With</w:t>
      </w:r>
      <w:r w:rsidRPr="00850658">
        <w:rPr>
          <w:bCs/>
        </w:rPr>
        <w:t xml:space="preserve"> </w:t>
      </w:r>
      <w:r w:rsidRPr="00850658">
        <w:t>regard</w:t>
      </w:r>
      <w:r w:rsidRPr="00850658">
        <w:rPr>
          <w:bCs/>
        </w:rPr>
        <w:t xml:space="preserve"> to the first part of the </w:t>
      </w:r>
      <w:r w:rsidRPr="00850658">
        <w:t>procedural</w:t>
      </w:r>
      <w:r w:rsidRPr="00850658">
        <w:rPr>
          <w:bCs/>
        </w:rPr>
        <w:t xml:space="preserve"> obligation, that is locating the mortal remains of Mr Jovan Jovanović</w:t>
      </w:r>
      <w:r w:rsidRPr="00850658">
        <w:t xml:space="preserve">, the Panel notes that </w:t>
      </w:r>
      <w:r w:rsidRPr="00850658">
        <w:rPr>
          <w:bCs/>
        </w:rPr>
        <w:t xml:space="preserve">his </w:t>
      </w:r>
      <w:r w:rsidRPr="00850658">
        <w:t>whereabouts</w:t>
      </w:r>
      <w:r w:rsidRPr="00850658">
        <w:rPr>
          <w:bCs/>
        </w:rPr>
        <w:t xml:space="preserve"> remain unknown. The ICMP database entry confirms that DNA samples had been collected</w:t>
      </w:r>
      <w:r w:rsidR="006B3488" w:rsidRPr="00850658">
        <w:t>, but it is not clear when</w:t>
      </w:r>
      <w:r w:rsidRPr="00850658">
        <w:t xml:space="preserve"> </w:t>
      </w:r>
      <w:r w:rsidR="006B3488" w:rsidRPr="00850658">
        <w:t xml:space="preserve">they were collected </w:t>
      </w:r>
      <w:r w:rsidRPr="00850658">
        <w:t xml:space="preserve">or by whom (see § </w:t>
      </w:r>
      <w:r w:rsidR="00FA0FE6" w:rsidRPr="00850658">
        <w:fldChar w:fldCharType="begin"/>
      </w:r>
      <w:r w:rsidR="00FA0FE6" w:rsidRPr="00850658">
        <w:instrText xml:space="preserve"> REF _Ref413869946 \r \h  \* MERGEFORMAT </w:instrText>
      </w:r>
      <w:r w:rsidR="00FA0FE6" w:rsidRPr="00850658">
        <w:fldChar w:fldCharType="separate"/>
      </w:r>
      <w:r w:rsidR="004504C3">
        <w:t>25</w:t>
      </w:r>
      <w:r w:rsidR="00FA0FE6" w:rsidRPr="00850658">
        <w:fldChar w:fldCharType="end"/>
      </w:r>
      <w:r w:rsidRPr="00850658">
        <w:t xml:space="preserve"> above). </w:t>
      </w:r>
    </w:p>
    <w:p w14:paraId="5C5BE97A" w14:textId="77777777" w:rsidR="00060C2E" w:rsidRPr="00850658" w:rsidRDefault="00060C2E" w:rsidP="00060C2E">
      <w:pPr>
        <w:pStyle w:val="ListParagraph"/>
      </w:pPr>
    </w:p>
    <w:p w14:paraId="4D18E4C1" w14:textId="0AF0DFA4" w:rsidR="00060C2E" w:rsidRPr="00850658" w:rsidRDefault="00247B84" w:rsidP="00060C2E">
      <w:pPr>
        <w:numPr>
          <w:ilvl w:val="0"/>
          <w:numId w:val="2"/>
        </w:numPr>
        <w:tabs>
          <w:tab w:val="clear" w:pos="360"/>
          <w:tab w:val="num" w:pos="450"/>
          <w:tab w:val="left" w:pos="709"/>
        </w:tabs>
        <w:suppressAutoHyphens/>
        <w:autoSpaceDE w:val="0"/>
        <w:ind w:left="450" w:hanging="450"/>
        <w:jc w:val="both"/>
      </w:pPr>
      <w:r w:rsidRPr="00850658">
        <w:t>T</w:t>
      </w:r>
      <w:r w:rsidR="00060C2E" w:rsidRPr="00850658">
        <w:t>he Panel notes that the collection of DNA samples is of itself an essential action that secures the necessary material for any future comparative examination and possible identification of located mortal remains. However, as in this case</w:t>
      </w:r>
      <w:r w:rsidR="00867F40" w:rsidRPr="00850658">
        <w:t>,</w:t>
      </w:r>
      <w:r w:rsidR="00060C2E" w:rsidRPr="00850658">
        <w:t xml:space="preserve"> no such identification has yet occurred, t</w:t>
      </w:r>
      <w:r w:rsidR="00060C2E" w:rsidRPr="00850658">
        <w:rPr>
          <w:bCs/>
        </w:rPr>
        <w:t>he Panel will turn to the investigation carried out by UNMIK Police with the aim of identification of perpetrators and bringing them to justice, that is the second element of the procedural obligation under Article 2 of the ECHR.</w:t>
      </w:r>
    </w:p>
    <w:p w14:paraId="4F0CAE7B" w14:textId="77777777" w:rsidR="00060C2E" w:rsidRPr="00850658" w:rsidRDefault="00060C2E" w:rsidP="00060C2E">
      <w:pPr>
        <w:pStyle w:val="ListParagraph"/>
        <w:rPr>
          <w:bCs/>
        </w:rPr>
      </w:pPr>
    </w:p>
    <w:p w14:paraId="1E0DE764" w14:textId="5E317178" w:rsidR="00A53A89" w:rsidRPr="00850658" w:rsidRDefault="001E45A8" w:rsidP="001E45A8">
      <w:pPr>
        <w:numPr>
          <w:ilvl w:val="0"/>
          <w:numId w:val="2"/>
        </w:numPr>
        <w:tabs>
          <w:tab w:val="left" w:pos="709"/>
        </w:tabs>
        <w:suppressAutoHyphens/>
        <w:autoSpaceDE w:val="0"/>
        <w:jc w:val="both"/>
      </w:pPr>
      <w:bookmarkStart w:id="90" w:name="_Ref372551989"/>
      <w:r w:rsidRPr="00850658">
        <w:rPr>
          <w:bCs/>
        </w:rPr>
        <w:t>T</w:t>
      </w:r>
      <w:r w:rsidR="00D929BD" w:rsidRPr="00850658">
        <w:t>he Panel notes that as established above, UNMIK became aware of the abduction and disappearance of Mr Jovan Jovanović on 12 October 2001, when U</w:t>
      </w:r>
      <w:r w:rsidR="00596544" w:rsidRPr="00850658">
        <w:t>NMIK Police received his name as a missing person</w:t>
      </w:r>
      <w:r w:rsidR="00D929BD" w:rsidRPr="00850658">
        <w:t xml:space="preserve"> </w:t>
      </w:r>
      <w:r w:rsidR="00596544" w:rsidRPr="00850658">
        <w:t>in</w:t>
      </w:r>
      <w:r w:rsidR="00D929BD" w:rsidRPr="00850658">
        <w:t xml:space="preserve"> the list communicated by the ICRC (see § </w:t>
      </w:r>
      <w:r w:rsidR="00AB364B" w:rsidRPr="00850658">
        <w:fldChar w:fldCharType="begin"/>
      </w:r>
      <w:r w:rsidR="00AB364B" w:rsidRPr="00850658">
        <w:instrText xml:space="preserve"> REF _Ref414607885 \r \h </w:instrText>
      </w:r>
      <w:r w:rsidR="00850658" w:rsidRPr="00850658">
        <w:instrText xml:space="preserve"> \* MERGEFORMAT </w:instrText>
      </w:r>
      <w:r w:rsidR="00AB364B" w:rsidRPr="00850658">
        <w:fldChar w:fldCharType="separate"/>
      </w:r>
      <w:r w:rsidR="004504C3">
        <w:t>92</w:t>
      </w:r>
      <w:r w:rsidR="00AB364B" w:rsidRPr="00850658">
        <w:fldChar w:fldCharType="end"/>
      </w:r>
      <w:r w:rsidR="00D929BD" w:rsidRPr="00850658">
        <w:t xml:space="preserve"> above). </w:t>
      </w:r>
      <w:r w:rsidRPr="00850658">
        <w:t xml:space="preserve">However, </w:t>
      </w:r>
      <w:r w:rsidR="00596544" w:rsidRPr="00850658">
        <w:t xml:space="preserve">the MPU opened </w:t>
      </w:r>
      <w:r w:rsidR="00AB364B" w:rsidRPr="00850658">
        <w:t>an investigation</w:t>
      </w:r>
      <w:r w:rsidR="00596544" w:rsidRPr="00850658">
        <w:t xml:space="preserve"> into the matter only </w:t>
      </w:r>
      <w:r w:rsidR="00AB364B" w:rsidRPr="00850658">
        <w:t>in</w:t>
      </w:r>
      <w:r w:rsidR="00596544" w:rsidRPr="00850658">
        <w:t xml:space="preserve"> April 2003</w:t>
      </w:r>
      <w:r w:rsidR="00AB364B" w:rsidRPr="00850658">
        <w:t xml:space="preserve"> (see §§ </w:t>
      </w:r>
      <w:r w:rsidR="00AB364B" w:rsidRPr="00850658">
        <w:fldChar w:fldCharType="begin"/>
      </w:r>
      <w:r w:rsidR="00AB364B" w:rsidRPr="00850658">
        <w:instrText xml:space="preserve"> REF _Ref414607951 \r \h </w:instrText>
      </w:r>
      <w:r w:rsidR="00850658" w:rsidRPr="00850658">
        <w:instrText xml:space="preserve"> \* MERGEFORMAT </w:instrText>
      </w:r>
      <w:r w:rsidR="00AB364B" w:rsidRPr="00850658">
        <w:fldChar w:fldCharType="separate"/>
      </w:r>
      <w:r w:rsidR="004504C3">
        <w:t>31</w:t>
      </w:r>
      <w:r w:rsidR="00AB364B" w:rsidRPr="00850658">
        <w:fldChar w:fldCharType="end"/>
      </w:r>
      <w:r w:rsidR="00AB364B" w:rsidRPr="00850658">
        <w:t xml:space="preserve"> - </w:t>
      </w:r>
      <w:r w:rsidR="00AB364B" w:rsidRPr="00850658">
        <w:fldChar w:fldCharType="begin"/>
      </w:r>
      <w:r w:rsidR="00AB364B" w:rsidRPr="00850658">
        <w:instrText xml:space="preserve"> REF _Ref414607953 \r \h </w:instrText>
      </w:r>
      <w:r w:rsidR="00850658" w:rsidRPr="00850658">
        <w:instrText xml:space="preserve"> \* MERGEFORMAT </w:instrText>
      </w:r>
      <w:r w:rsidR="00AB364B" w:rsidRPr="00850658">
        <w:fldChar w:fldCharType="separate"/>
      </w:r>
      <w:r w:rsidR="004504C3">
        <w:t>32</w:t>
      </w:r>
      <w:r w:rsidR="00AB364B" w:rsidRPr="00850658">
        <w:fldChar w:fldCharType="end"/>
      </w:r>
      <w:r w:rsidR="00AB364B" w:rsidRPr="00850658">
        <w:t>)</w:t>
      </w:r>
      <w:r w:rsidR="00596544" w:rsidRPr="00850658">
        <w:t xml:space="preserve">. </w:t>
      </w:r>
      <w:r w:rsidR="00D929BD" w:rsidRPr="00850658">
        <w:t xml:space="preserve">The Panel notes that </w:t>
      </w:r>
      <w:r w:rsidRPr="00850658">
        <w:t xml:space="preserve">UNMIK only registered the case at this time while no basic investigative steps were taken </w:t>
      </w:r>
      <w:r w:rsidR="00A53A89" w:rsidRPr="00850658">
        <w:rPr>
          <w:lang w:eastAsia="nl-NL"/>
        </w:rPr>
        <w:t xml:space="preserve">such as visiting his home, the location where </w:t>
      </w:r>
      <w:r w:rsidR="00A53A89" w:rsidRPr="00850658">
        <w:t xml:space="preserve">Mr Jovan Jovanović </w:t>
      </w:r>
      <w:r w:rsidR="00A53A89" w:rsidRPr="00850658">
        <w:rPr>
          <w:lang w:eastAsia="nl-NL"/>
        </w:rPr>
        <w:t>had been reportedly seen for the last time, to try and better understand the circumstances of his disappearance, or identifying and interviewing individuals residing at or located in the area of the alleged</w:t>
      </w:r>
      <w:r w:rsidR="00247B84" w:rsidRPr="00850658">
        <w:rPr>
          <w:lang w:eastAsia="nl-NL"/>
        </w:rPr>
        <w:t xml:space="preserve"> crime (“canvassing” the area).</w:t>
      </w:r>
    </w:p>
    <w:p w14:paraId="5EDB3E22" w14:textId="77777777" w:rsidR="00CC334B" w:rsidRPr="00850658" w:rsidRDefault="00CC334B" w:rsidP="00CC334B">
      <w:pPr>
        <w:pStyle w:val="ListParagraph"/>
        <w:rPr>
          <w:bCs/>
        </w:rPr>
      </w:pPr>
    </w:p>
    <w:p w14:paraId="5C02AC4A" w14:textId="7B90532F" w:rsidR="00CC334B" w:rsidRPr="00850658" w:rsidRDefault="001E45A8" w:rsidP="00AB364B">
      <w:pPr>
        <w:numPr>
          <w:ilvl w:val="0"/>
          <w:numId w:val="2"/>
        </w:numPr>
        <w:tabs>
          <w:tab w:val="clear" w:pos="360"/>
          <w:tab w:val="num" w:pos="426"/>
          <w:tab w:val="left" w:pos="709"/>
        </w:tabs>
        <w:suppressAutoHyphens/>
        <w:autoSpaceDE w:val="0"/>
        <w:ind w:left="426" w:hanging="426"/>
        <w:jc w:val="both"/>
        <w:rPr>
          <w:rStyle w:val="sb8d990e2"/>
        </w:rPr>
      </w:pPr>
      <w:r w:rsidRPr="00850658">
        <w:rPr>
          <w:bCs/>
        </w:rPr>
        <w:t>At the latest by April 2003</w:t>
      </w:r>
      <w:r w:rsidR="00AB364B" w:rsidRPr="00850658">
        <w:rPr>
          <w:bCs/>
        </w:rPr>
        <w:t>,</w:t>
      </w:r>
      <w:r w:rsidR="00D929BD" w:rsidRPr="00850658">
        <w:rPr>
          <w:bCs/>
        </w:rPr>
        <w:t xml:space="preserve"> UNMIK Police possessed some information, including a basic description of the </w:t>
      </w:r>
      <w:r w:rsidR="00D929BD" w:rsidRPr="00850658">
        <w:t>disappearance of Mr Jovan Jovanović as well as the</w:t>
      </w:r>
      <w:r w:rsidR="00D929BD" w:rsidRPr="00850658">
        <w:rPr>
          <w:bCs/>
        </w:rPr>
        <w:t xml:space="preserve"> </w:t>
      </w:r>
      <w:r w:rsidR="00D929BD" w:rsidRPr="00850658">
        <w:t>name, address and telephone number of his sister and wife</w:t>
      </w:r>
      <w:r w:rsidRPr="00850658">
        <w:t xml:space="preserve"> in Serbia proper</w:t>
      </w:r>
      <w:r w:rsidR="00D929BD" w:rsidRPr="00850658">
        <w:t>. However, there is no indication in the file that the UNMIK Police contacted either the complainant or any of the other family members</w:t>
      </w:r>
      <w:r w:rsidR="00CC334B" w:rsidRPr="00850658">
        <w:t>. The file shows that</w:t>
      </w:r>
      <w:r w:rsidR="00335687" w:rsidRPr="00850658">
        <w:t xml:space="preserve"> in December 2004 or </w:t>
      </w:r>
      <w:r w:rsidR="00CC334B" w:rsidRPr="00850658">
        <w:t>January 2005</w:t>
      </w:r>
      <w:r w:rsidR="00D929BD" w:rsidRPr="00850658">
        <w:t xml:space="preserve"> the WCIU investigators </w:t>
      </w:r>
      <w:r w:rsidR="00CC334B" w:rsidRPr="00850658">
        <w:t xml:space="preserve">tried </w:t>
      </w:r>
      <w:r w:rsidR="00D929BD" w:rsidRPr="00850658">
        <w:t>to contact the sister of Mr Jovan Jovanović by phone</w:t>
      </w:r>
      <w:r w:rsidR="00CC334B" w:rsidRPr="00850658">
        <w:t>, reportedly receiving no answer.</w:t>
      </w:r>
      <w:r w:rsidR="00D929BD" w:rsidRPr="00850658">
        <w:t xml:space="preserve"> </w:t>
      </w:r>
      <w:r w:rsidR="00CC334B" w:rsidRPr="00850658">
        <w:t xml:space="preserve">The file does not show any attempt was made to call the wife of Mr Jovan Jovanović, who was also listed as his next of kin. </w:t>
      </w:r>
      <w:r w:rsidR="00AB364B" w:rsidRPr="00850658">
        <w:t xml:space="preserve">In addition, </w:t>
      </w:r>
      <w:r w:rsidR="00CC334B" w:rsidRPr="00850658">
        <w:t xml:space="preserve">the Panel notes that there are other ways to contact witnesses in Serbia proper, other than by telephone, including using the cooperation of Serbian authorities (see HRAP, </w:t>
      </w:r>
      <w:r w:rsidR="00CC334B" w:rsidRPr="00850658">
        <w:rPr>
          <w:i/>
        </w:rPr>
        <w:t>Vitošević,</w:t>
      </w:r>
      <w:r w:rsidR="00CC334B" w:rsidRPr="00850658">
        <w:t xml:space="preserve"> no. 116/09, opinion of 27 February 2015, §61-64, 79 and 195). </w:t>
      </w:r>
      <w:r w:rsidRPr="00850658">
        <w:t>However, this was not done.</w:t>
      </w:r>
    </w:p>
    <w:p w14:paraId="5CCBE77E" w14:textId="77777777" w:rsidR="00060C2E" w:rsidRPr="00850658" w:rsidRDefault="00060C2E" w:rsidP="00060C2E">
      <w:pPr>
        <w:pStyle w:val="ListParagraph"/>
      </w:pPr>
    </w:p>
    <w:bookmarkEnd w:id="90"/>
    <w:p w14:paraId="157CB4ED" w14:textId="50212208" w:rsidR="00060C2E" w:rsidRPr="00850658" w:rsidRDefault="00060C2E" w:rsidP="00060C2E">
      <w:pPr>
        <w:numPr>
          <w:ilvl w:val="0"/>
          <w:numId w:val="2"/>
        </w:numPr>
        <w:tabs>
          <w:tab w:val="left" w:pos="709"/>
        </w:tabs>
        <w:suppressAutoHyphens/>
        <w:autoSpaceDE w:val="0"/>
        <w:ind w:left="450" w:hanging="450"/>
        <w:jc w:val="both"/>
      </w:pPr>
      <w:r w:rsidRPr="00850658">
        <w:t xml:space="preserve">As the file further indicates, the case was </w:t>
      </w:r>
      <w:r w:rsidR="00333C22" w:rsidRPr="00850658">
        <w:t>categorised as “pending</w:t>
      </w:r>
      <w:r w:rsidRPr="00850658">
        <w:t xml:space="preserve">”. This is before any substantive investigative action was undertaken on this case, although the likelihood of a grave crime having been committed against the complainant’s </w:t>
      </w:r>
      <w:r w:rsidR="00333C22" w:rsidRPr="00850658">
        <w:t xml:space="preserve">father </w:t>
      </w:r>
      <w:r w:rsidRPr="00850658">
        <w:t>was very high.</w:t>
      </w:r>
      <w:r w:rsidR="005D110D" w:rsidRPr="00850658">
        <w:rPr>
          <w:bCs/>
        </w:rPr>
        <w:t xml:space="preserve"> </w:t>
      </w:r>
      <w:r w:rsidR="00C75EF1" w:rsidRPr="00850658">
        <w:rPr>
          <w:bCs/>
        </w:rPr>
        <w:t>The file does</w:t>
      </w:r>
      <w:r w:rsidR="005D110D" w:rsidRPr="00850658">
        <w:rPr>
          <w:bCs/>
        </w:rPr>
        <w:t xml:space="preserve"> not provide any evidence of any further investigative activity (see § </w:t>
      </w:r>
      <w:r w:rsidR="00A53A89" w:rsidRPr="00850658">
        <w:rPr>
          <w:bCs/>
        </w:rPr>
        <w:fldChar w:fldCharType="begin"/>
      </w:r>
      <w:r w:rsidR="00A53A89" w:rsidRPr="00850658">
        <w:rPr>
          <w:bCs/>
        </w:rPr>
        <w:instrText xml:space="preserve"> REF _Ref414545550 \r \h  \* MERGEFORMAT </w:instrText>
      </w:r>
      <w:r w:rsidR="00A53A89" w:rsidRPr="00850658">
        <w:rPr>
          <w:bCs/>
        </w:rPr>
      </w:r>
      <w:r w:rsidR="00A53A89" w:rsidRPr="00850658">
        <w:rPr>
          <w:bCs/>
        </w:rPr>
        <w:fldChar w:fldCharType="separate"/>
      </w:r>
      <w:r w:rsidR="004504C3">
        <w:rPr>
          <w:bCs/>
        </w:rPr>
        <w:t>34</w:t>
      </w:r>
      <w:r w:rsidR="00A53A89" w:rsidRPr="00850658">
        <w:rPr>
          <w:bCs/>
        </w:rPr>
        <w:fldChar w:fldCharType="end"/>
      </w:r>
      <w:r w:rsidR="005D110D" w:rsidRPr="00850658">
        <w:rPr>
          <w:bCs/>
        </w:rPr>
        <w:t xml:space="preserve"> above). </w:t>
      </w:r>
    </w:p>
    <w:p w14:paraId="675CEBA1" w14:textId="77777777" w:rsidR="00624C2B" w:rsidRPr="00850658" w:rsidRDefault="00624C2B" w:rsidP="00624C2B">
      <w:pPr>
        <w:pStyle w:val="ListParagraph"/>
      </w:pPr>
    </w:p>
    <w:p w14:paraId="72C87739" w14:textId="77777777" w:rsidR="00624C2B" w:rsidRPr="00850658" w:rsidRDefault="00624C2B" w:rsidP="00624C2B">
      <w:pPr>
        <w:numPr>
          <w:ilvl w:val="0"/>
          <w:numId w:val="2"/>
        </w:numPr>
        <w:tabs>
          <w:tab w:val="left" w:pos="709"/>
        </w:tabs>
        <w:suppressAutoHyphens/>
        <w:autoSpaceDE w:val="0"/>
        <w:ind w:left="450" w:hanging="450"/>
        <w:jc w:val="both"/>
        <w:rPr>
          <w:bCs/>
        </w:rPr>
      </w:pPr>
      <w:r w:rsidRPr="00850658">
        <w:t xml:space="preserve">The Panel </w:t>
      </w:r>
      <w:r w:rsidRPr="00850658">
        <w:rPr>
          <w:bCs/>
        </w:rPr>
        <w:t>recalls</w:t>
      </w:r>
      <w:r w:rsidRPr="00850658">
        <w:t xml:space="preserve"> in this respect its position in relation to the categorisation of cases into “active” and “inactive”, that any </w:t>
      </w:r>
      <w:r w:rsidRPr="00850658">
        <w:rPr>
          <w:bCs/>
        </w:rPr>
        <w:t xml:space="preserve">“categorisation of an investigation should take place only after the minimum </w:t>
      </w:r>
      <w:r w:rsidRPr="00850658">
        <w:t>possible</w:t>
      </w:r>
      <w:r w:rsidRPr="00850658">
        <w:rPr>
          <w:bCs/>
        </w:rPr>
        <w:t xml:space="preserve"> investigative actions have been undertaken and obtainable information has been collected and analysed”</w:t>
      </w:r>
      <w:r w:rsidRPr="00850658">
        <w:t xml:space="preserve">. </w:t>
      </w:r>
      <w:r w:rsidRPr="00850658">
        <w:rPr>
          <w:bCs/>
        </w:rPr>
        <w:t>The Panel reiterates its position expressed in other cases in relation to the adequacy of the investigation into the abductions, disappearances, killings and suspicious deaths that no prioritisation should be made at the earliest stages, before any basic investigative steps towards collection of additional information is taken and all obtainable evidence had been collected</w:t>
      </w:r>
      <w:r w:rsidRPr="00850658">
        <w:t xml:space="preserve"> (see e.g. </w:t>
      </w:r>
      <w:hyperlink r:id="rId12" w:history="1">
        <w:r w:rsidRPr="00850658">
          <w:rPr>
            <w:rStyle w:val="Hyperlink"/>
            <w:color w:val="auto"/>
            <w:u w:val="none"/>
          </w:rPr>
          <w:t xml:space="preserve">HRAP, </w:t>
        </w:r>
        <w:r w:rsidRPr="00850658">
          <w:rPr>
            <w:rStyle w:val="Hyperlink"/>
            <w:i/>
            <w:color w:val="auto"/>
            <w:u w:val="none"/>
          </w:rPr>
          <w:t>B.A</w:t>
        </w:r>
        <w:r w:rsidRPr="00850658">
          <w:rPr>
            <w:rStyle w:val="Hyperlink"/>
            <w:color w:val="auto"/>
            <w:u w:val="none"/>
          </w:rPr>
          <w:t>., no. 52/09, opinion of 14 February 2013</w:t>
        </w:r>
      </w:hyperlink>
      <w:r w:rsidRPr="00850658">
        <w:t xml:space="preserve">, § 82; </w:t>
      </w:r>
      <w:hyperlink r:id="rId13" w:history="1">
        <w:r w:rsidRPr="00850658">
          <w:rPr>
            <w:rStyle w:val="Hyperlink"/>
            <w:color w:val="auto"/>
            <w:u w:val="none"/>
          </w:rPr>
          <w:t xml:space="preserve">HRAP, </w:t>
        </w:r>
        <w:r w:rsidRPr="00850658">
          <w:rPr>
            <w:rStyle w:val="Hyperlink"/>
            <w:i/>
            <w:color w:val="auto"/>
            <w:u w:val="none"/>
          </w:rPr>
          <w:t>Janković</w:t>
        </w:r>
        <w:r w:rsidRPr="00850658">
          <w:rPr>
            <w:rStyle w:val="Hyperlink"/>
            <w:color w:val="auto"/>
            <w:u w:val="none"/>
          </w:rPr>
          <w:t>, no. 249/09, opinion of 16 October 2014</w:t>
        </w:r>
      </w:hyperlink>
      <w:r w:rsidRPr="00850658">
        <w:t>, § 107).</w:t>
      </w:r>
    </w:p>
    <w:p w14:paraId="40EC2AA4" w14:textId="77777777" w:rsidR="00867F40" w:rsidRPr="00850658" w:rsidRDefault="00867F40" w:rsidP="001E45A8">
      <w:pPr>
        <w:rPr>
          <w:bCs/>
        </w:rPr>
      </w:pPr>
    </w:p>
    <w:p w14:paraId="3F2CACA5" w14:textId="4E92648F" w:rsidR="00333C22" w:rsidRPr="00850658" w:rsidRDefault="00333C22" w:rsidP="00333C22">
      <w:pPr>
        <w:pStyle w:val="ListParagraph"/>
        <w:numPr>
          <w:ilvl w:val="0"/>
          <w:numId w:val="2"/>
        </w:numPr>
        <w:tabs>
          <w:tab w:val="clear" w:pos="360"/>
          <w:tab w:val="num" w:pos="450"/>
        </w:tabs>
        <w:autoSpaceDE w:val="0"/>
        <w:ind w:left="450" w:hanging="450"/>
        <w:jc w:val="both"/>
      </w:pPr>
      <w:r w:rsidRPr="00850658">
        <w:lastRenderedPageBreak/>
        <w:t>Coming to the period within its jurisdiction, starting from 23 April 2005, the Panel notes that after that critical date the failure to conduct the necessary investigative actions, including those at the initial stage, persisted.</w:t>
      </w:r>
      <w:r w:rsidR="00E9722F" w:rsidRPr="00850658">
        <w:t xml:space="preserve"> </w:t>
      </w:r>
      <w:r w:rsidRPr="00850658">
        <w:t xml:space="preserve">Accordingly, inadequacies existing up until that date were not addressed. </w:t>
      </w:r>
      <w:r w:rsidRPr="00850658">
        <w:rPr>
          <w:bCs/>
        </w:rPr>
        <w:t>Thus</w:t>
      </w:r>
      <w:r w:rsidRPr="00850658">
        <w:t xml:space="preserve">, in accordance with the continuing obligation to investigate (see § </w:t>
      </w:r>
      <w:r w:rsidRPr="00850658">
        <w:fldChar w:fldCharType="begin"/>
      </w:r>
      <w:r w:rsidRPr="00850658">
        <w:instrText xml:space="preserve"> REF _Ref373950745 \r \h  \* MERGEFORMAT </w:instrText>
      </w:r>
      <w:r w:rsidRPr="00850658">
        <w:fldChar w:fldCharType="separate"/>
      </w:r>
      <w:r w:rsidR="004504C3">
        <w:t>78</w:t>
      </w:r>
      <w:r w:rsidRPr="00850658">
        <w:fldChar w:fldCharType="end"/>
      </w:r>
      <w:r w:rsidRPr="00850658">
        <w:t xml:space="preserve"> above), the assessment of the whole investigation is brought within the period of the Panel’s jurisdiction.</w:t>
      </w:r>
    </w:p>
    <w:p w14:paraId="2FE81254" w14:textId="77777777" w:rsidR="00333C22" w:rsidRPr="00850658" w:rsidRDefault="00333C22" w:rsidP="00333C22">
      <w:pPr>
        <w:tabs>
          <w:tab w:val="left" w:pos="709"/>
        </w:tabs>
        <w:suppressAutoHyphens/>
        <w:autoSpaceDE w:val="0"/>
        <w:ind w:left="450"/>
        <w:jc w:val="both"/>
      </w:pPr>
    </w:p>
    <w:p w14:paraId="64047179" w14:textId="400174F2" w:rsidR="00060C2E" w:rsidRPr="00850658" w:rsidRDefault="00060C2E" w:rsidP="00060C2E">
      <w:pPr>
        <w:numPr>
          <w:ilvl w:val="0"/>
          <w:numId w:val="2"/>
        </w:numPr>
        <w:tabs>
          <w:tab w:val="left" w:pos="709"/>
        </w:tabs>
        <w:suppressAutoHyphens/>
        <w:autoSpaceDE w:val="0"/>
        <w:ind w:left="450" w:hanging="450"/>
        <w:jc w:val="both"/>
      </w:pPr>
      <w:r w:rsidRPr="00850658">
        <w:t xml:space="preserve">The Panel is conscious of the fact that not all crimes can be solved and not all investigations lead to identification and successful prosecution of the perpetrator[s]. The Panel has already referred above to the position of the European Court with regard to the nature of the procedural obligation under Article 2, which is “not an obligation of results but of means.” The Court clearly states that no violation of Article 2 exists if the authorities take all reasonable steps they can to secure the evidence concerning an incident and the investigation’s conclusion is based on thorough, objective and impartial analysis of all relevant elements (see §§ </w:t>
      </w:r>
      <w:r w:rsidR="00867F40" w:rsidRPr="00850658">
        <w:fldChar w:fldCharType="begin"/>
      </w:r>
      <w:r w:rsidR="00867F40" w:rsidRPr="00850658">
        <w:instrText xml:space="preserve"> REF _Ref366239979 \r \h </w:instrText>
      </w:r>
      <w:r w:rsidR="00C71AA4" w:rsidRPr="00850658">
        <w:instrText xml:space="preserve"> \* MERGEFORMAT </w:instrText>
      </w:r>
      <w:r w:rsidR="00867F40" w:rsidRPr="00850658">
        <w:fldChar w:fldCharType="separate"/>
      </w:r>
      <w:r w:rsidR="004504C3">
        <w:t>75</w:t>
      </w:r>
      <w:r w:rsidR="00867F40" w:rsidRPr="00850658">
        <w:fldChar w:fldCharType="end"/>
      </w:r>
      <w:r w:rsidR="00EC44C6" w:rsidRPr="00850658">
        <w:t xml:space="preserve"> </w:t>
      </w:r>
      <w:r w:rsidR="006E769B" w:rsidRPr="00850658">
        <w:t xml:space="preserve">- </w:t>
      </w:r>
      <w:r w:rsidR="006E769B" w:rsidRPr="00850658">
        <w:fldChar w:fldCharType="begin"/>
      </w:r>
      <w:r w:rsidR="006E769B" w:rsidRPr="00850658">
        <w:instrText xml:space="preserve"> REF _Ref401245516 \r \h  \* MERGEFORMAT </w:instrText>
      </w:r>
      <w:r w:rsidR="006E769B" w:rsidRPr="00850658">
        <w:fldChar w:fldCharType="separate"/>
      </w:r>
      <w:r w:rsidR="004504C3">
        <w:t>76</w:t>
      </w:r>
      <w:r w:rsidR="006E769B" w:rsidRPr="00850658">
        <w:fldChar w:fldCharType="end"/>
      </w:r>
      <w:r w:rsidR="006E769B" w:rsidRPr="00850658">
        <w:t xml:space="preserve"> </w:t>
      </w:r>
      <w:r w:rsidRPr="00850658">
        <w:t xml:space="preserve">above), even when no perpetrators are convicted (see e.g. ECtHR case </w:t>
      </w:r>
      <w:r w:rsidRPr="00850658">
        <w:rPr>
          <w:i/>
        </w:rPr>
        <w:t>Palić</w:t>
      </w:r>
      <w:r w:rsidRPr="00850658">
        <w:t xml:space="preserve">, cited in § </w:t>
      </w:r>
      <w:r w:rsidR="006E769B" w:rsidRPr="00850658">
        <w:fldChar w:fldCharType="begin"/>
      </w:r>
      <w:r w:rsidR="006E769B" w:rsidRPr="00850658">
        <w:instrText xml:space="preserve"> REF _Ref366239979 \r \h  \* MERGEFORMAT </w:instrText>
      </w:r>
      <w:r w:rsidR="006E769B" w:rsidRPr="00850658">
        <w:fldChar w:fldCharType="separate"/>
      </w:r>
      <w:r w:rsidR="004504C3">
        <w:t>75</w:t>
      </w:r>
      <w:r w:rsidR="006E769B" w:rsidRPr="00850658">
        <w:fldChar w:fldCharType="end"/>
      </w:r>
      <w:r w:rsidRPr="00850658">
        <w:t xml:space="preserve"> above, at § 65 or ECtHR [GC], </w:t>
      </w:r>
      <w:r w:rsidRPr="00850658">
        <w:rPr>
          <w:i/>
        </w:rPr>
        <w:t>Giuliani and Gaggio v. Italy</w:t>
      </w:r>
      <w:r w:rsidRPr="00850658">
        <w:t xml:space="preserve">, no 23458/02, judgment of 24 March 2011, §§ 301 and 326). In this respect, the Panel also recalls the position of the European Court that “the authorities </w:t>
      </w:r>
      <w:r w:rsidR="00DC3B83" w:rsidRPr="00850658">
        <w:t xml:space="preserve">must </w:t>
      </w:r>
      <w:r w:rsidRPr="00850658">
        <w:rPr>
          <w:rStyle w:val="sb8d990e2"/>
        </w:rPr>
        <w:t xml:space="preserve">always make a serious attempt to find out what happened and should not rely on hasty or ill-founded conclusions to close their investigation” </w:t>
      </w:r>
      <w:r w:rsidRPr="00850658">
        <w:rPr>
          <w:bCs/>
        </w:rPr>
        <w:t>(see §</w:t>
      </w:r>
      <w:r w:rsidR="00867F40" w:rsidRPr="00850658">
        <w:rPr>
          <w:bCs/>
        </w:rPr>
        <w:t xml:space="preserve"> </w:t>
      </w:r>
      <w:r w:rsidR="00867F40" w:rsidRPr="00850658">
        <w:rPr>
          <w:bCs/>
        </w:rPr>
        <w:fldChar w:fldCharType="begin"/>
      </w:r>
      <w:r w:rsidR="00867F40" w:rsidRPr="00850658">
        <w:rPr>
          <w:bCs/>
        </w:rPr>
        <w:instrText xml:space="preserve"> REF _Ref401245516 \r \h </w:instrText>
      </w:r>
      <w:r w:rsidR="00C71AA4" w:rsidRPr="00850658">
        <w:rPr>
          <w:bCs/>
        </w:rPr>
        <w:instrText xml:space="preserve"> \* MERGEFORMAT </w:instrText>
      </w:r>
      <w:r w:rsidR="00867F40" w:rsidRPr="00850658">
        <w:rPr>
          <w:bCs/>
        </w:rPr>
      </w:r>
      <w:r w:rsidR="00867F40" w:rsidRPr="00850658">
        <w:rPr>
          <w:bCs/>
        </w:rPr>
        <w:fldChar w:fldCharType="separate"/>
      </w:r>
      <w:r w:rsidR="004504C3">
        <w:rPr>
          <w:bCs/>
        </w:rPr>
        <w:t>76</w:t>
      </w:r>
      <w:r w:rsidR="00867F40" w:rsidRPr="00850658">
        <w:rPr>
          <w:bCs/>
        </w:rPr>
        <w:fldChar w:fldCharType="end"/>
      </w:r>
      <w:r w:rsidRPr="00850658">
        <w:rPr>
          <w:bCs/>
        </w:rPr>
        <w:t xml:space="preserve"> above).</w:t>
      </w:r>
    </w:p>
    <w:p w14:paraId="19822366" w14:textId="77777777" w:rsidR="00060C2E" w:rsidRPr="00850658" w:rsidRDefault="00060C2E" w:rsidP="00060C2E">
      <w:pPr>
        <w:pStyle w:val="ListParagraph"/>
      </w:pPr>
    </w:p>
    <w:p w14:paraId="3094BDDF" w14:textId="5BB51F77" w:rsidR="00060C2E" w:rsidRPr="00850658" w:rsidRDefault="00060C2E" w:rsidP="00060C2E">
      <w:pPr>
        <w:numPr>
          <w:ilvl w:val="0"/>
          <w:numId w:val="2"/>
        </w:numPr>
        <w:tabs>
          <w:tab w:val="left" w:pos="709"/>
        </w:tabs>
        <w:suppressAutoHyphens/>
        <w:autoSpaceDE w:val="0"/>
        <w:ind w:left="450" w:hanging="450"/>
        <w:jc w:val="both"/>
      </w:pPr>
      <w:r w:rsidRPr="00850658">
        <w:t xml:space="preserve">As the fate of Mr </w:t>
      </w:r>
      <w:r w:rsidR="00E03398" w:rsidRPr="00850658">
        <w:t>Jovan Jovanović had</w:t>
      </w:r>
      <w:r w:rsidRPr="00850658">
        <w:t xml:space="preserve"> not been established, UNMIK Police was obliged to use the means at their disposal to regularly review the progress of the </w:t>
      </w:r>
      <w:r w:rsidRPr="00850658">
        <w:rPr>
          <w:bCs/>
        </w:rPr>
        <w:t>investigation</w:t>
      </w:r>
      <w:r w:rsidRPr="00850658">
        <w:t xml:space="preserve"> to ensure that nothing had been overlooked and any new evidence had been considered, as well as to inform </w:t>
      </w:r>
      <w:r w:rsidR="00487680">
        <w:t>his</w:t>
      </w:r>
      <w:r w:rsidRPr="00850658">
        <w:t xml:space="preserve"> relatives regarding the progress of this investigation. As the file shows, the investigative file</w:t>
      </w:r>
      <w:r w:rsidR="00867F40" w:rsidRPr="00850658">
        <w:t xml:space="preserve"> was reviewed by the WCIU once,</w:t>
      </w:r>
      <w:r w:rsidRPr="00850658">
        <w:t xml:space="preserve"> in October 2007. Although the review showed that no investigation had been conducted, no action was taken. </w:t>
      </w:r>
    </w:p>
    <w:p w14:paraId="5544E83B" w14:textId="77777777" w:rsidR="00060C2E" w:rsidRPr="00850658" w:rsidRDefault="00060C2E" w:rsidP="00060C2E">
      <w:pPr>
        <w:pStyle w:val="ListParagraph"/>
      </w:pPr>
    </w:p>
    <w:p w14:paraId="4F8DFF91" w14:textId="79FB30D3" w:rsidR="00060C2E" w:rsidRPr="00850658" w:rsidRDefault="00060C2E" w:rsidP="00060C2E">
      <w:pPr>
        <w:numPr>
          <w:ilvl w:val="0"/>
          <w:numId w:val="2"/>
        </w:numPr>
        <w:tabs>
          <w:tab w:val="left" w:pos="709"/>
        </w:tabs>
        <w:suppressAutoHyphens/>
        <w:autoSpaceDE w:val="0"/>
        <w:ind w:left="450" w:hanging="450"/>
        <w:jc w:val="both"/>
      </w:pPr>
      <w:r w:rsidRPr="00850658">
        <w:t>Likewise, the file indicates no involvement of a public prosecutor in this investigation</w:t>
      </w:r>
      <w:r w:rsidR="00E03398" w:rsidRPr="00850658">
        <w:t>, even though there is a f</w:t>
      </w:r>
      <w:r w:rsidR="00EC44C6" w:rsidRPr="00850658">
        <w:t xml:space="preserve">ile containing a criminal report from </w:t>
      </w:r>
      <w:r w:rsidR="00E03398" w:rsidRPr="00850658">
        <w:t>the complainant to the DPPO</w:t>
      </w:r>
      <w:r w:rsidR="00867F40" w:rsidRPr="00850658">
        <w:t xml:space="preserve"> </w:t>
      </w:r>
      <w:r w:rsidR="00EC44C6" w:rsidRPr="00850658">
        <w:t xml:space="preserve">in Prizren </w:t>
      </w:r>
      <w:r w:rsidR="00867F40" w:rsidRPr="00850658">
        <w:t xml:space="preserve">(see § </w:t>
      </w:r>
      <w:r w:rsidR="00867F40" w:rsidRPr="00850658">
        <w:fldChar w:fldCharType="begin"/>
      </w:r>
      <w:r w:rsidR="00867F40" w:rsidRPr="00850658">
        <w:instrText xml:space="preserve"> REF _Ref413933384 \r \h </w:instrText>
      </w:r>
      <w:r w:rsidR="00C71AA4" w:rsidRPr="00850658">
        <w:instrText xml:space="preserve"> \* MERGEFORMAT </w:instrText>
      </w:r>
      <w:r w:rsidR="00867F40" w:rsidRPr="00850658">
        <w:fldChar w:fldCharType="separate"/>
      </w:r>
      <w:r w:rsidR="004504C3">
        <w:t>37</w:t>
      </w:r>
      <w:r w:rsidR="00867F40" w:rsidRPr="00850658">
        <w:fldChar w:fldCharType="end"/>
      </w:r>
      <w:r w:rsidR="00867F40" w:rsidRPr="00850658">
        <w:t xml:space="preserve"> above)</w:t>
      </w:r>
      <w:r w:rsidRPr="00850658">
        <w:t xml:space="preserve">. As the Panel has mentioned previously, a proper prosecutorial review of the investigative file might have resulted in additional recommendations, so that the case would not have remained inactive for years to come (see </w:t>
      </w:r>
      <w:hyperlink r:id="rId14" w:history="1">
        <w:r w:rsidRPr="00850658">
          <w:rPr>
            <w:rStyle w:val="Hyperlink"/>
            <w:color w:val="auto"/>
            <w:u w:val="none"/>
          </w:rPr>
          <w:t xml:space="preserve">HRAP, </w:t>
        </w:r>
        <w:r w:rsidRPr="00850658">
          <w:rPr>
            <w:rStyle w:val="Hyperlink"/>
            <w:i/>
            <w:color w:val="auto"/>
            <w:u w:val="none"/>
          </w:rPr>
          <w:t>Stojković</w:t>
        </w:r>
        <w:r w:rsidRPr="00850658">
          <w:rPr>
            <w:rStyle w:val="Hyperlink"/>
            <w:color w:val="auto"/>
            <w:u w:val="none"/>
          </w:rPr>
          <w:t>, no. 87/09, opinion of 14 December 2013</w:t>
        </w:r>
      </w:hyperlink>
      <w:r w:rsidRPr="00850658">
        <w:t>, § 160). Thus, in the Panel’s view, the review of the investigative files was far from being adequate.</w:t>
      </w:r>
    </w:p>
    <w:p w14:paraId="255352A7" w14:textId="77777777" w:rsidR="005F3797" w:rsidRPr="00850658" w:rsidRDefault="005F3797" w:rsidP="001E45A8"/>
    <w:p w14:paraId="411FF204" w14:textId="34A36E38" w:rsidR="001E45A8" w:rsidRPr="00850658" w:rsidRDefault="001E45A8" w:rsidP="001E45A8">
      <w:pPr>
        <w:numPr>
          <w:ilvl w:val="0"/>
          <w:numId w:val="2"/>
        </w:numPr>
        <w:tabs>
          <w:tab w:val="left" w:pos="709"/>
        </w:tabs>
        <w:suppressAutoHyphens/>
        <w:autoSpaceDE w:val="0"/>
        <w:ind w:left="450" w:hanging="450"/>
        <w:jc w:val="both"/>
        <w:rPr>
          <w:bCs/>
        </w:rPr>
      </w:pPr>
      <w:r w:rsidRPr="00850658">
        <w:rPr>
          <w:bCs/>
        </w:rPr>
        <w:t xml:space="preserve">The </w:t>
      </w:r>
      <w:r w:rsidRPr="00850658">
        <w:t>Panel</w:t>
      </w:r>
      <w:r w:rsidRPr="00850658">
        <w:rPr>
          <w:bCs/>
        </w:rPr>
        <w:t xml:space="preserve"> likewise recalls the SRSG’s argument that “</w:t>
      </w:r>
      <w:r w:rsidRPr="00850658">
        <w:t xml:space="preserve">without witnesses coming forward </w:t>
      </w:r>
      <w:r w:rsidRPr="00850658">
        <w:rPr>
          <w:bCs/>
        </w:rPr>
        <w:t>or</w:t>
      </w:r>
      <w:r w:rsidRPr="00850658">
        <w:t xml:space="preserve"> physical evidence being discovered, police investigations inevitably stall because of a lack of evidence” </w:t>
      </w:r>
      <w:r w:rsidRPr="00850658">
        <w:rPr>
          <w:bCs/>
        </w:rPr>
        <w:t xml:space="preserve">(see § </w:t>
      </w:r>
      <w:r w:rsidRPr="00850658">
        <w:fldChar w:fldCharType="begin"/>
      </w:r>
      <w:r w:rsidRPr="00850658">
        <w:rPr>
          <w:bCs/>
        </w:rPr>
        <w:instrText xml:space="preserve"> REF _Ref413920556 \r \h </w:instrText>
      </w:r>
      <w:r w:rsidRPr="00850658">
        <w:instrText xml:space="preserve"> \* MERGEFORMAT </w:instrText>
      </w:r>
      <w:r w:rsidRPr="00850658">
        <w:fldChar w:fldCharType="separate"/>
      </w:r>
      <w:r w:rsidR="004504C3">
        <w:rPr>
          <w:bCs/>
        </w:rPr>
        <w:t>63</w:t>
      </w:r>
      <w:r w:rsidRPr="00850658">
        <w:fldChar w:fldCharType="end"/>
      </w:r>
      <w:r w:rsidRPr="00850658">
        <w:rPr>
          <w:bCs/>
        </w:rPr>
        <w:t xml:space="preserve"> above). In this regard, the Panel must note that almost any investigation at its initial stage lacks a significant amount of information. Finding the </w:t>
      </w:r>
      <w:r w:rsidRPr="00850658">
        <w:t>necessary</w:t>
      </w:r>
      <w:r w:rsidRPr="00850658">
        <w:rPr>
          <w:bCs/>
        </w:rPr>
        <w:t xml:space="preserve"> information to fill those gaps is the main goal of any investigative activity. Therefore, a lack of information should not be used as an argument to defend inaction by the investigative authorities. In this case, however, it appears that, instead of actively searching for information and leads, UNMIK Police simply waited for further information to appear by itself. In this situation it may have led to the loss of potential evidence (see e.g</w:t>
      </w:r>
      <w:hyperlink r:id="rId15" w:history="1">
        <w:r w:rsidRPr="00850658">
          <w:rPr>
            <w:rStyle w:val="Hyperlink"/>
            <w:bCs/>
            <w:color w:val="auto"/>
            <w:u w:val="none"/>
          </w:rPr>
          <w:t xml:space="preserve">. HRAP, </w:t>
        </w:r>
        <w:r w:rsidRPr="00850658">
          <w:rPr>
            <w:rStyle w:val="Hyperlink"/>
            <w:bCs/>
            <w:i/>
            <w:color w:val="auto"/>
            <w:u w:val="none"/>
          </w:rPr>
          <w:t>P.S</w:t>
        </w:r>
        <w:r w:rsidRPr="00850658">
          <w:rPr>
            <w:rStyle w:val="Hyperlink"/>
            <w:bCs/>
            <w:color w:val="auto"/>
            <w:u w:val="none"/>
          </w:rPr>
          <w:t>., no. 48/09, opinion of 31 October 2013</w:t>
        </w:r>
      </w:hyperlink>
      <w:r w:rsidRPr="00850658">
        <w:rPr>
          <w:bCs/>
        </w:rPr>
        <w:t xml:space="preserve">, § 107). </w:t>
      </w:r>
    </w:p>
    <w:p w14:paraId="08D727D6" w14:textId="77777777" w:rsidR="001E45A8" w:rsidRPr="00850658" w:rsidRDefault="001E45A8" w:rsidP="005F3797">
      <w:pPr>
        <w:pStyle w:val="ListParagraph"/>
      </w:pPr>
    </w:p>
    <w:p w14:paraId="3BB0B67B" w14:textId="12CFD4D5" w:rsidR="005F3797" w:rsidRPr="00850658" w:rsidRDefault="001E45A8" w:rsidP="005F3797">
      <w:pPr>
        <w:numPr>
          <w:ilvl w:val="0"/>
          <w:numId w:val="2"/>
        </w:numPr>
        <w:tabs>
          <w:tab w:val="left" w:pos="709"/>
        </w:tabs>
        <w:suppressAutoHyphens/>
        <w:autoSpaceDE w:val="0"/>
        <w:ind w:left="450" w:hanging="450"/>
        <w:jc w:val="both"/>
        <w:rPr>
          <w:rStyle w:val="sb8d990e2"/>
        </w:rPr>
      </w:pPr>
      <w:r w:rsidRPr="00850658">
        <w:rPr>
          <w:rStyle w:val="sb8d990e2"/>
        </w:rPr>
        <w:t xml:space="preserve">In particular the Panel notes the presence in the investigative file of </w:t>
      </w:r>
      <w:r w:rsidR="005F3797" w:rsidRPr="00850658">
        <w:rPr>
          <w:rStyle w:val="sb8d990e2"/>
        </w:rPr>
        <w:t xml:space="preserve">two documents related to the UNMIK Police investigation into the abduction and detention of H.S. by the KLA, in June 1999. This separate investigation was conducted by UNMIK Police in Prizren and H.S. was interviewed by UNMIK Police in May 2002 (see §§ </w:t>
      </w:r>
      <w:r w:rsidR="005F3797" w:rsidRPr="00850658">
        <w:rPr>
          <w:rStyle w:val="sb8d990e2"/>
        </w:rPr>
        <w:fldChar w:fldCharType="begin"/>
      </w:r>
      <w:r w:rsidR="005F3797" w:rsidRPr="00850658">
        <w:rPr>
          <w:rStyle w:val="sb8d990e2"/>
        </w:rPr>
        <w:instrText xml:space="preserve"> REF _Ref414608826 \r \h  \* MERGEFORMAT </w:instrText>
      </w:r>
      <w:r w:rsidR="005F3797" w:rsidRPr="00850658">
        <w:rPr>
          <w:rStyle w:val="sb8d990e2"/>
        </w:rPr>
      </w:r>
      <w:r w:rsidR="005F3797" w:rsidRPr="00850658">
        <w:rPr>
          <w:rStyle w:val="sb8d990e2"/>
        </w:rPr>
        <w:fldChar w:fldCharType="separate"/>
      </w:r>
      <w:r w:rsidR="004504C3">
        <w:rPr>
          <w:rStyle w:val="sb8d990e2"/>
        </w:rPr>
        <w:t>29</w:t>
      </w:r>
      <w:r w:rsidR="005F3797" w:rsidRPr="00850658">
        <w:rPr>
          <w:rStyle w:val="sb8d990e2"/>
        </w:rPr>
        <w:fldChar w:fldCharType="end"/>
      </w:r>
      <w:r w:rsidR="005F3797" w:rsidRPr="00850658">
        <w:rPr>
          <w:rStyle w:val="sb8d990e2"/>
        </w:rPr>
        <w:t xml:space="preserve"> - </w:t>
      </w:r>
      <w:r w:rsidR="005F3797" w:rsidRPr="00850658">
        <w:rPr>
          <w:rStyle w:val="sb8d990e2"/>
        </w:rPr>
        <w:fldChar w:fldCharType="begin"/>
      </w:r>
      <w:r w:rsidR="005F3797" w:rsidRPr="00850658">
        <w:rPr>
          <w:rStyle w:val="sb8d990e2"/>
        </w:rPr>
        <w:instrText xml:space="preserve"> REF _Ref414608829 \r \h  \* MERGEFORMAT </w:instrText>
      </w:r>
      <w:r w:rsidR="005F3797" w:rsidRPr="00850658">
        <w:rPr>
          <w:rStyle w:val="sb8d990e2"/>
        </w:rPr>
      </w:r>
      <w:r w:rsidR="005F3797" w:rsidRPr="00850658">
        <w:rPr>
          <w:rStyle w:val="sb8d990e2"/>
        </w:rPr>
        <w:fldChar w:fldCharType="separate"/>
      </w:r>
      <w:r w:rsidR="004504C3">
        <w:rPr>
          <w:rStyle w:val="sb8d990e2"/>
        </w:rPr>
        <w:t>30</w:t>
      </w:r>
      <w:r w:rsidR="005F3797" w:rsidRPr="00850658">
        <w:rPr>
          <w:rStyle w:val="sb8d990e2"/>
        </w:rPr>
        <w:fldChar w:fldCharType="end"/>
      </w:r>
      <w:r w:rsidR="005F3797" w:rsidRPr="00850658">
        <w:rPr>
          <w:rStyle w:val="sb8d990e2"/>
        </w:rPr>
        <w:t xml:space="preserve"> above). It is clear from his statement that he was an eye-witness to Mr J</w:t>
      </w:r>
      <w:r w:rsidR="00167A47" w:rsidRPr="00850658">
        <w:rPr>
          <w:rStyle w:val="sb8d990e2"/>
        </w:rPr>
        <w:t>ovan Jovanović’</w:t>
      </w:r>
      <w:r w:rsidR="005F3797" w:rsidRPr="00850658">
        <w:rPr>
          <w:rStyle w:val="sb8d990e2"/>
        </w:rPr>
        <w:t xml:space="preserve">s detention </w:t>
      </w:r>
      <w:r w:rsidR="00335687" w:rsidRPr="00850658">
        <w:rPr>
          <w:rStyle w:val="sb8d990e2"/>
        </w:rPr>
        <w:t xml:space="preserve">and that he </w:t>
      </w:r>
      <w:r w:rsidR="005F3797" w:rsidRPr="00850658">
        <w:rPr>
          <w:rStyle w:val="sb8d990e2"/>
        </w:rPr>
        <w:t xml:space="preserve">was even able to identify the involved KLA members. </w:t>
      </w:r>
      <w:r w:rsidRPr="00850658">
        <w:rPr>
          <w:rStyle w:val="sb8d990e2"/>
        </w:rPr>
        <w:t xml:space="preserve">In the Panel’s view, the statement of H.S. was a source of information which could have helped to advance this investigation. </w:t>
      </w:r>
      <w:r w:rsidR="005F3797" w:rsidRPr="00850658">
        <w:rPr>
          <w:rStyle w:val="sb8d990e2"/>
        </w:rPr>
        <w:t xml:space="preserve">However, there is </w:t>
      </w:r>
      <w:r w:rsidRPr="00850658">
        <w:rPr>
          <w:rStyle w:val="sb8d990e2"/>
        </w:rPr>
        <w:t xml:space="preserve">nothing </w:t>
      </w:r>
      <w:r w:rsidR="005F3797" w:rsidRPr="00850658">
        <w:rPr>
          <w:rStyle w:val="sb8d990e2"/>
        </w:rPr>
        <w:t xml:space="preserve">in the file </w:t>
      </w:r>
      <w:r w:rsidRPr="00850658">
        <w:rPr>
          <w:rStyle w:val="sb8d990e2"/>
        </w:rPr>
        <w:t xml:space="preserve">to show </w:t>
      </w:r>
      <w:r w:rsidR="005F3797" w:rsidRPr="00850658">
        <w:rPr>
          <w:rStyle w:val="sb8d990e2"/>
        </w:rPr>
        <w:t xml:space="preserve">that UNMIK Police had linked </w:t>
      </w:r>
      <w:r w:rsidRPr="00850658">
        <w:rPr>
          <w:rStyle w:val="sb8d990e2"/>
        </w:rPr>
        <w:t xml:space="preserve">the two </w:t>
      </w:r>
      <w:r w:rsidR="005F3797" w:rsidRPr="00850658">
        <w:rPr>
          <w:rStyle w:val="sb8d990e2"/>
        </w:rPr>
        <w:t>investigation</w:t>
      </w:r>
      <w:r w:rsidRPr="00850658">
        <w:rPr>
          <w:rStyle w:val="sb8d990e2"/>
        </w:rPr>
        <w:t>s</w:t>
      </w:r>
      <w:r w:rsidR="005F3797" w:rsidRPr="00850658">
        <w:rPr>
          <w:rStyle w:val="sb8d990e2"/>
        </w:rPr>
        <w:t xml:space="preserve">, or otherwise had considered H.S.’s statement </w:t>
      </w:r>
      <w:r w:rsidRPr="00850658">
        <w:rPr>
          <w:rStyle w:val="sb8d990e2"/>
        </w:rPr>
        <w:t xml:space="preserve">as evidence </w:t>
      </w:r>
      <w:r w:rsidR="005F3797" w:rsidRPr="00850658">
        <w:rPr>
          <w:rStyle w:val="sb8d990e2"/>
        </w:rPr>
        <w:t>in the investigation into the abduction and disappearance of the complainant’s father</w:t>
      </w:r>
      <w:r w:rsidRPr="00850658">
        <w:rPr>
          <w:rStyle w:val="sb8d990e2"/>
        </w:rPr>
        <w:t xml:space="preserve">.  </w:t>
      </w:r>
    </w:p>
    <w:p w14:paraId="34EF7B05" w14:textId="77777777" w:rsidR="005F3797" w:rsidRPr="00850658" w:rsidRDefault="005F3797" w:rsidP="005F3797">
      <w:pPr>
        <w:pStyle w:val="ListParagraph"/>
        <w:rPr>
          <w:rStyle w:val="sb8d990e2"/>
        </w:rPr>
      </w:pPr>
    </w:p>
    <w:p w14:paraId="206E1B01" w14:textId="047F54D0" w:rsidR="00060C2E" w:rsidRPr="00850658" w:rsidRDefault="005F3797" w:rsidP="00060C2E">
      <w:pPr>
        <w:numPr>
          <w:ilvl w:val="0"/>
          <w:numId w:val="2"/>
        </w:numPr>
        <w:tabs>
          <w:tab w:val="left" w:pos="709"/>
        </w:tabs>
        <w:suppressAutoHyphens/>
        <w:autoSpaceDE w:val="0"/>
        <w:ind w:left="450" w:hanging="450"/>
        <w:jc w:val="both"/>
      </w:pPr>
      <w:r w:rsidRPr="00850658">
        <w:t xml:space="preserve">In this respect the Panel recalls its position expressed earlier that the obligation to investigate is not fulfilled simply by the establishment of an adequate framework, but only when it becomes a properly coordinated system that is able to carry out an adequate and effective investigation in accordance with Article 2 of the ECHR (see HRAP, </w:t>
      </w:r>
      <w:r w:rsidRPr="00850658">
        <w:rPr>
          <w:i/>
        </w:rPr>
        <w:t>Ru. R.</w:t>
      </w:r>
      <w:r w:rsidRPr="00850658">
        <w:t>, no. 340/09, opinion of 27 February 2015, § 116).</w:t>
      </w:r>
    </w:p>
    <w:p w14:paraId="33A4D654" w14:textId="77777777" w:rsidR="005F3797" w:rsidRPr="00850658" w:rsidRDefault="005F3797" w:rsidP="005F3797">
      <w:pPr>
        <w:pStyle w:val="ListParagraph"/>
      </w:pPr>
    </w:p>
    <w:p w14:paraId="3B0EA5D8" w14:textId="16557CE7" w:rsidR="00867F40" w:rsidRPr="00850658" w:rsidRDefault="00060C2E" w:rsidP="005F3797">
      <w:pPr>
        <w:numPr>
          <w:ilvl w:val="0"/>
          <w:numId w:val="2"/>
        </w:numPr>
        <w:tabs>
          <w:tab w:val="left" w:pos="709"/>
        </w:tabs>
        <w:suppressAutoHyphens/>
        <w:autoSpaceDE w:val="0"/>
        <w:ind w:left="450" w:hanging="450"/>
        <w:jc w:val="both"/>
      </w:pPr>
      <w:r w:rsidRPr="00850658">
        <w:rPr>
          <w:bCs/>
        </w:rPr>
        <w:t xml:space="preserve">The </w:t>
      </w:r>
      <w:r w:rsidRPr="00850658">
        <w:t>apparent</w:t>
      </w:r>
      <w:r w:rsidRPr="00850658">
        <w:rPr>
          <w:bCs/>
        </w:rPr>
        <w:t xml:space="preserve"> lack of any reaction from UNMIK Police, either immediately or at later stages, may have suggested to perpetrators that the authorities were either not able, or not willing to conduct investigations into disappearances of people.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w:t>
      </w:r>
      <w:r w:rsidRPr="00850658">
        <w:t>beginning</w:t>
      </w:r>
      <w:r w:rsidRPr="00850658">
        <w:rPr>
          <w:bCs/>
        </w:rPr>
        <w:t xml:space="preserve"> of its mission, which were discussed above, do not justify such inaction, either at the outset or subsequently. Certainly, in the Panel’s view, such inaction did not help UNMIK to defuse the “[t]</w:t>
      </w:r>
      <w:r w:rsidRPr="00850658">
        <w:t xml:space="preserve">empers and tensions … running high amongst all ethnic groups, exacerbated by reports of missing and dead persons”, mentioned by the SRSG (see § </w:t>
      </w:r>
      <w:r w:rsidR="009D0E5E" w:rsidRPr="00850658">
        <w:fldChar w:fldCharType="begin"/>
      </w:r>
      <w:r w:rsidR="009D0E5E" w:rsidRPr="00850658">
        <w:instrText xml:space="preserve"> REF _Ref373942084 \r \h  \* MERGEFORMAT </w:instrText>
      </w:r>
      <w:r w:rsidR="009D0E5E" w:rsidRPr="00850658">
        <w:fldChar w:fldCharType="separate"/>
      </w:r>
      <w:r w:rsidR="004504C3">
        <w:t>56</w:t>
      </w:r>
      <w:r w:rsidR="009D0E5E" w:rsidRPr="00850658">
        <w:fldChar w:fldCharType="end"/>
      </w:r>
      <w:r w:rsidR="009D0E5E" w:rsidRPr="00850658">
        <w:t xml:space="preserve"> </w:t>
      </w:r>
      <w:r w:rsidRPr="00850658">
        <w:t>above).</w:t>
      </w:r>
      <w:r w:rsidR="00867F40" w:rsidRPr="00850658">
        <w:rPr>
          <w:bCs/>
        </w:rPr>
        <w:t xml:space="preserve"> Moreover, the Panel fears that such inaction on the side of UNMIK indicates a reluctance on the part of UNMIK Police to pursue the perpetrators, in particular when there are allegations or other leads pointing towards persons associated with the KLA (see </w:t>
      </w:r>
      <w:hyperlink r:id="rId16" w:history="1">
        <w:r w:rsidR="00867F40" w:rsidRPr="00850658">
          <w:rPr>
            <w:rStyle w:val="Hyperlink"/>
            <w:bCs/>
            <w:color w:val="auto"/>
            <w:u w:val="none"/>
          </w:rPr>
          <w:t xml:space="preserve">HRAP, </w:t>
        </w:r>
        <w:r w:rsidR="00867F40" w:rsidRPr="00850658">
          <w:rPr>
            <w:rStyle w:val="Hyperlink"/>
            <w:bCs/>
            <w:i/>
            <w:color w:val="auto"/>
            <w:u w:val="none"/>
          </w:rPr>
          <w:t>Ibraj</w:t>
        </w:r>
        <w:r w:rsidR="00867F40" w:rsidRPr="00850658">
          <w:rPr>
            <w:rStyle w:val="Hyperlink"/>
            <w:bCs/>
            <w:color w:val="auto"/>
            <w:u w:val="none"/>
          </w:rPr>
          <w:t>, cases nos 14/09 and others, opinion of 6 August 2014</w:t>
        </w:r>
      </w:hyperlink>
      <w:r w:rsidR="00867F40" w:rsidRPr="00850658">
        <w:rPr>
          <w:bCs/>
        </w:rPr>
        <w:t xml:space="preserve">, § 155). </w:t>
      </w:r>
    </w:p>
    <w:p w14:paraId="3BFD16F3" w14:textId="77777777" w:rsidR="00060C2E" w:rsidRPr="00850658" w:rsidRDefault="00060C2E" w:rsidP="00060C2E">
      <w:pPr>
        <w:pStyle w:val="ListParagraph"/>
      </w:pPr>
    </w:p>
    <w:p w14:paraId="77664D0E" w14:textId="438CBF76" w:rsidR="00060C2E" w:rsidRPr="00850658" w:rsidRDefault="00060C2E" w:rsidP="00060C2E">
      <w:pPr>
        <w:numPr>
          <w:ilvl w:val="0"/>
          <w:numId w:val="2"/>
        </w:numPr>
        <w:tabs>
          <w:tab w:val="left" w:pos="709"/>
        </w:tabs>
        <w:suppressAutoHyphens/>
        <w:autoSpaceDE w:val="0"/>
        <w:ind w:left="450" w:hanging="450"/>
        <w:jc w:val="both"/>
        <w:rPr>
          <w:bCs/>
        </w:rPr>
      </w:pPr>
      <w:r w:rsidRPr="00850658">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6E769B" w:rsidRPr="00850658">
        <w:fldChar w:fldCharType="begin"/>
      </w:r>
      <w:r w:rsidR="006E769B" w:rsidRPr="00850658">
        <w:instrText xml:space="preserve"> REF _Ref366239979 \r \h  \* MERGEFORMAT </w:instrText>
      </w:r>
      <w:r w:rsidR="006E769B" w:rsidRPr="00850658">
        <w:fldChar w:fldCharType="separate"/>
      </w:r>
      <w:r w:rsidR="004504C3">
        <w:t>75</w:t>
      </w:r>
      <w:r w:rsidR="006E769B" w:rsidRPr="00850658">
        <w:fldChar w:fldCharType="end"/>
      </w:r>
      <w:r w:rsidRPr="00850658">
        <w:t xml:space="preserve"> above), as required by Article 2 of the ECHR.</w:t>
      </w:r>
    </w:p>
    <w:p w14:paraId="2AA6F7B1" w14:textId="77777777" w:rsidR="00060C2E" w:rsidRPr="00850658" w:rsidRDefault="00060C2E" w:rsidP="00060C2E">
      <w:pPr>
        <w:pStyle w:val="ListParagraph"/>
      </w:pPr>
    </w:p>
    <w:p w14:paraId="1AC1602C" w14:textId="5B4C3BCD" w:rsidR="00DA4344" w:rsidRPr="00850658" w:rsidRDefault="00DA4344" w:rsidP="00DA4344">
      <w:pPr>
        <w:numPr>
          <w:ilvl w:val="0"/>
          <w:numId w:val="2"/>
        </w:numPr>
        <w:tabs>
          <w:tab w:val="left" w:pos="709"/>
        </w:tabs>
        <w:suppressAutoHyphens/>
        <w:autoSpaceDE w:val="0"/>
        <w:ind w:left="450" w:hanging="450"/>
        <w:jc w:val="both"/>
        <w:rPr>
          <w:lang w:eastAsia="en-GB"/>
        </w:rPr>
      </w:pPr>
      <w:r w:rsidRPr="00850658">
        <w:t>Finally, in relation to the procedural requirement of public</w:t>
      </w:r>
      <w:r w:rsidRPr="00850658">
        <w:rPr>
          <w:lang w:eastAsia="en-GB"/>
        </w:rPr>
        <w:t xml:space="preserve"> scrutiny, the Panel recalls that </w:t>
      </w:r>
      <w:r w:rsidRPr="00850658">
        <w:t>Article</w:t>
      </w:r>
      <w:r w:rsidRPr="00850658">
        <w:rPr>
          <w:lang w:eastAsia="en-GB"/>
        </w:rPr>
        <w:t xml:space="preserve"> 2 also entails that </w:t>
      </w:r>
      <w:r w:rsidRPr="00850658">
        <w:t>the</w:t>
      </w:r>
      <w:r w:rsidRPr="00850658">
        <w:rPr>
          <w:lang w:eastAsia="en-GB"/>
        </w:rPr>
        <w:t xml:space="preserve"> victim’s next-of-kin be involved in the investigation to the extent necessary to </w:t>
      </w:r>
      <w:r w:rsidRPr="00850658">
        <w:rPr>
          <w:bCs/>
        </w:rPr>
        <w:t>safeguard</w:t>
      </w:r>
      <w:r w:rsidRPr="00850658">
        <w:rPr>
          <w:lang w:eastAsia="en-GB"/>
        </w:rPr>
        <w:t xml:space="preserve"> his or her legitimate interests. </w:t>
      </w:r>
      <w:bookmarkStart w:id="91" w:name="_Ref401074447"/>
      <w:r w:rsidRPr="00850658">
        <w:rPr>
          <w:lang w:eastAsia="en-GB"/>
        </w:rPr>
        <w:t>In this case, UNMIK reportedly attempted to contact Mr Jovan Jovanović’s sister only once</w:t>
      </w:r>
      <w:r w:rsidR="00247B84" w:rsidRPr="00850658">
        <w:rPr>
          <w:lang w:eastAsia="en-GB"/>
        </w:rPr>
        <w:t>, without success</w:t>
      </w:r>
      <w:r w:rsidRPr="00850658">
        <w:rPr>
          <w:lang w:eastAsia="en-GB"/>
        </w:rPr>
        <w:t xml:space="preserve">. </w:t>
      </w:r>
      <w:r w:rsidRPr="00850658">
        <w:t xml:space="preserve">Moreover, </w:t>
      </w:r>
      <w:r w:rsidRPr="00850658">
        <w:lastRenderedPageBreak/>
        <w:t xml:space="preserve">following the criminal </w:t>
      </w:r>
      <w:r w:rsidR="00247B84" w:rsidRPr="00850658">
        <w:t xml:space="preserve">report </w:t>
      </w:r>
      <w:r w:rsidRPr="00850658">
        <w:t xml:space="preserve">addressed to UNMIK International Prosecutor, </w:t>
      </w:r>
      <w:bookmarkEnd w:id="91"/>
      <w:r w:rsidRPr="00850658">
        <w:t xml:space="preserve">there is nothing indicating that UNMIK </w:t>
      </w:r>
      <w:r w:rsidR="00247B84" w:rsidRPr="00850658">
        <w:t xml:space="preserve">relevant authorities </w:t>
      </w:r>
      <w:r w:rsidRPr="00850658">
        <w:t xml:space="preserve">contacted the complainant to follow up. </w:t>
      </w:r>
      <w:r w:rsidRPr="00850658">
        <w:rPr>
          <w:lang w:eastAsia="en-GB"/>
        </w:rPr>
        <w:t>Thus, the Panel considers that the investigation was not open to any public scrutiny, as required by Article 2 of the ECHR.</w:t>
      </w:r>
    </w:p>
    <w:p w14:paraId="3489B8F2" w14:textId="77777777" w:rsidR="00DA4344" w:rsidRPr="00850658" w:rsidRDefault="00DA4344" w:rsidP="00DA4344">
      <w:pPr>
        <w:pStyle w:val="ListParagraph"/>
        <w:rPr>
          <w:lang w:eastAsia="en-GB"/>
        </w:rPr>
      </w:pPr>
    </w:p>
    <w:p w14:paraId="62790077" w14:textId="323CA329" w:rsidR="00060C2E" w:rsidRPr="00850658" w:rsidRDefault="00247B84" w:rsidP="00060C2E">
      <w:pPr>
        <w:numPr>
          <w:ilvl w:val="0"/>
          <w:numId w:val="2"/>
        </w:numPr>
        <w:tabs>
          <w:tab w:val="clear" w:pos="360"/>
          <w:tab w:val="left" w:pos="709"/>
        </w:tabs>
        <w:suppressAutoHyphens/>
        <w:autoSpaceDE w:val="0"/>
        <w:ind w:left="450" w:hanging="450"/>
        <w:jc w:val="both"/>
      </w:pPr>
      <w:r w:rsidRPr="00850658">
        <w:t>T</w:t>
      </w:r>
      <w:r w:rsidR="00060C2E" w:rsidRPr="00850658">
        <w:t xml:space="preserve">he Panel, in light of the shortcomings and deficiencies in the investigation described above, considers that the case of Mr </w:t>
      </w:r>
      <w:r w:rsidR="009D0E5E" w:rsidRPr="00850658">
        <w:t>Jovan Jovanović</w:t>
      </w:r>
      <w:r w:rsidR="00060C2E" w:rsidRPr="00850658">
        <w:t xml:space="preserve">, as well as other cases of killings, abductions and disappearances previously examined, well exemplify a pattern of perfunctory and unproductive investigations conducted by the UNMIK Police into killings and disappearances in Kosovo </w:t>
      </w:r>
      <w:r w:rsidR="005F1265" w:rsidRPr="00850658">
        <w:t xml:space="preserve">(see § </w:t>
      </w:r>
      <w:r w:rsidR="005F1265" w:rsidRPr="00850658">
        <w:fldChar w:fldCharType="begin"/>
      </w:r>
      <w:r w:rsidR="005F1265" w:rsidRPr="00850658">
        <w:instrText xml:space="preserve"> REF _Ref403834230 \r \h  \* MERGEFORMAT </w:instrText>
      </w:r>
      <w:r w:rsidR="005F1265" w:rsidRPr="00850658">
        <w:fldChar w:fldCharType="separate"/>
      </w:r>
      <w:r w:rsidR="004504C3">
        <w:t>91</w:t>
      </w:r>
      <w:r w:rsidR="005F1265" w:rsidRPr="00850658">
        <w:fldChar w:fldCharType="end"/>
      </w:r>
      <w:r w:rsidR="005F1265" w:rsidRPr="00850658">
        <w:t xml:space="preserve"> above; compare with HRC, </w:t>
      </w:r>
      <w:r w:rsidR="005F1265" w:rsidRPr="00850658">
        <w:rPr>
          <w:i/>
        </w:rPr>
        <w:t>Abubakar Amirov and Aïzan Amirova v. Russian Federation</w:t>
      </w:r>
      <w:r w:rsidR="005F1265" w:rsidRPr="00850658">
        <w:t xml:space="preserve">, cited in § </w:t>
      </w:r>
      <w:r w:rsidR="005F1265" w:rsidRPr="00850658">
        <w:fldChar w:fldCharType="begin"/>
      </w:r>
      <w:r w:rsidR="005F1265" w:rsidRPr="00850658">
        <w:instrText xml:space="preserve"> REF _Ref404685440 \r \h  \* MERGEFORMAT </w:instrText>
      </w:r>
      <w:r w:rsidR="005F1265" w:rsidRPr="00850658">
        <w:fldChar w:fldCharType="separate"/>
      </w:r>
      <w:r w:rsidR="004504C3">
        <w:t>87</w:t>
      </w:r>
      <w:r w:rsidR="005F1265" w:rsidRPr="00850658">
        <w:fldChar w:fldCharType="end"/>
      </w:r>
      <w:r w:rsidR="005F1265" w:rsidRPr="00850658">
        <w:t xml:space="preserve"> above, at § 11.4, and ECtHR,</w:t>
      </w:r>
      <w:r w:rsidR="005F1265" w:rsidRPr="00850658">
        <w:rPr>
          <w:i/>
        </w:rPr>
        <w:t xml:space="preserve"> Aslakhanova and Others v. Russia</w:t>
      </w:r>
      <w:r w:rsidR="005F1265" w:rsidRPr="00850658">
        <w:t xml:space="preserve">, cited in § </w:t>
      </w:r>
      <w:r w:rsidR="005F1265" w:rsidRPr="00850658">
        <w:fldChar w:fldCharType="begin"/>
      </w:r>
      <w:r w:rsidR="005F1265" w:rsidRPr="00850658">
        <w:instrText xml:space="preserve"> REF _Ref373950745 \r \h  \* MERGEFORMAT </w:instrText>
      </w:r>
      <w:r w:rsidR="005F1265" w:rsidRPr="00850658">
        <w:fldChar w:fldCharType="separate"/>
      </w:r>
      <w:r w:rsidR="004504C3">
        <w:t>78</w:t>
      </w:r>
      <w:r w:rsidR="005F1265" w:rsidRPr="00850658">
        <w:fldChar w:fldCharType="end"/>
      </w:r>
      <w:r w:rsidR="005F1265" w:rsidRPr="00850658">
        <w:t xml:space="preserve"> above</w:t>
      </w:r>
      <w:r w:rsidR="00E9722F" w:rsidRPr="00850658">
        <w:t>, at</w:t>
      </w:r>
      <w:r w:rsidR="005F1265" w:rsidRPr="00850658">
        <w:t xml:space="preserve"> § 123; see also HRAP, </w:t>
      </w:r>
      <w:r w:rsidR="005F1265" w:rsidRPr="00850658">
        <w:rPr>
          <w:i/>
        </w:rPr>
        <w:t>Bulatović</w:t>
      </w:r>
      <w:r w:rsidR="005F1265" w:rsidRPr="00850658">
        <w:t xml:space="preserve">, cited in § </w:t>
      </w:r>
      <w:r w:rsidR="005F1265" w:rsidRPr="00850658">
        <w:fldChar w:fldCharType="begin"/>
      </w:r>
      <w:r w:rsidR="005F1265" w:rsidRPr="00850658">
        <w:instrText xml:space="preserve"> REF _Ref409786758 \r \h  \* MERGEFORMAT </w:instrText>
      </w:r>
      <w:r w:rsidR="005F1265" w:rsidRPr="00850658">
        <w:fldChar w:fldCharType="separate"/>
      </w:r>
      <w:r w:rsidR="004504C3">
        <w:t>68</w:t>
      </w:r>
      <w:r w:rsidR="005F1265" w:rsidRPr="00850658">
        <w:fldChar w:fldCharType="end"/>
      </w:r>
      <w:r w:rsidR="005F1265" w:rsidRPr="00850658">
        <w:t xml:space="preserve"> above, at §§ 85 and 101)</w:t>
      </w:r>
      <w:r w:rsidR="00E70BAD" w:rsidRPr="00850658">
        <w:t>.</w:t>
      </w:r>
    </w:p>
    <w:p w14:paraId="584B5B1E" w14:textId="77777777" w:rsidR="00060C2E" w:rsidRPr="00850658" w:rsidRDefault="00060C2E" w:rsidP="00060C2E">
      <w:pPr>
        <w:pStyle w:val="ListParagraph"/>
      </w:pPr>
    </w:p>
    <w:p w14:paraId="5DF373B9" w14:textId="77777777" w:rsidR="00060C2E" w:rsidRPr="00850658" w:rsidRDefault="00060C2E" w:rsidP="00060C2E">
      <w:pPr>
        <w:numPr>
          <w:ilvl w:val="0"/>
          <w:numId w:val="2"/>
        </w:numPr>
        <w:tabs>
          <w:tab w:val="left" w:pos="709"/>
        </w:tabs>
        <w:suppressAutoHyphens/>
        <w:autoSpaceDE w:val="0"/>
        <w:ind w:left="450" w:hanging="450"/>
        <w:jc w:val="both"/>
      </w:pPr>
      <w:r w:rsidRPr="00850658">
        <w:t xml:space="preserve">Therefore, considering all stated above, the Panel concludes that UNMIK failed to carry out an </w:t>
      </w:r>
      <w:r w:rsidRPr="00850658">
        <w:rPr>
          <w:lang w:eastAsia="en-GB"/>
        </w:rPr>
        <w:t>effective</w:t>
      </w:r>
      <w:r w:rsidRPr="00850658">
        <w:t xml:space="preserve"> investigation into the abduction and disappearance </w:t>
      </w:r>
      <w:r w:rsidRPr="00850658">
        <w:rPr>
          <w:bCs/>
        </w:rPr>
        <w:t xml:space="preserve">of Mr </w:t>
      </w:r>
      <w:r w:rsidR="005D110D" w:rsidRPr="00850658">
        <w:rPr>
          <w:bCs/>
        </w:rPr>
        <w:t>Jovan Jovanović</w:t>
      </w:r>
      <w:r w:rsidRPr="00850658">
        <w:t xml:space="preserve">. There </w:t>
      </w:r>
      <w:r w:rsidRPr="00850658">
        <w:rPr>
          <w:lang w:eastAsia="en-GB"/>
        </w:rPr>
        <w:t>has</w:t>
      </w:r>
      <w:r w:rsidRPr="00850658">
        <w:t xml:space="preserve"> accordingly been a violation of Article 2, procedural limb, of the ECHR.</w:t>
      </w:r>
    </w:p>
    <w:p w14:paraId="5FAB7AA3" w14:textId="77777777" w:rsidR="00060C2E" w:rsidRPr="00850658" w:rsidRDefault="00060C2E" w:rsidP="00375153">
      <w:pPr>
        <w:jc w:val="both"/>
      </w:pPr>
    </w:p>
    <w:p w14:paraId="508CB7C6" w14:textId="77777777" w:rsidR="00711F6E" w:rsidRPr="00850658" w:rsidRDefault="00711F6E" w:rsidP="00711F6E">
      <w:pPr>
        <w:pStyle w:val="ListParagraph"/>
        <w:numPr>
          <w:ilvl w:val="0"/>
          <w:numId w:val="4"/>
        </w:numPr>
        <w:tabs>
          <w:tab w:val="left" w:pos="709"/>
        </w:tabs>
        <w:autoSpaceDE w:val="0"/>
        <w:jc w:val="both"/>
      </w:pPr>
      <w:r w:rsidRPr="00850658">
        <w:rPr>
          <w:b/>
        </w:rPr>
        <w:t>Alleged violation of Article 3 of the ECHR</w:t>
      </w:r>
    </w:p>
    <w:p w14:paraId="41730ABC" w14:textId="77777777" w:rsidR="00711F6E" w:rsidRPr="00850658" w:rsidRDefault="00711F6E" w:rsidP="00711F6E">
      <w:pPr>
        <w:pStyle w:val="ListParagraph"/>
      </w:pPr>
    </w:p>
    <w:p w14:paraId="756FA609" w14:textId="77777777" w:rsidR="00711F6E" w:rsidRPr="00850658" w:rsidRDefault="00711F6E" w:rsidP="00711F6E">
      <w:pPr>
        <w:numPr>
          <w:ilvl w:val="0"/>
          <w:numId w:val="2"/>
        </w:numPr>
        <w:tabs>
          <w:tab w:val="clear" w:pos="360"/>
          <w:tab w:val="left" w:pos="709"/>
        </w:tabs>
        <w:suppressAutoHyphens/>
        <w:autoSpaceDE w:val="0"/>
        <w:ind w:left="450" w:hanging="450"/>
        <w:jc w:val="both"/>
      </w:pPr>
      <w:r w:rsidRPr="00850658">
        <w:t xml:space="preserve">The Panel </w:t>
      </w:r>
      <w:r w:rsidRPr="00850658">
        <w:rPr>
          <w:bCs/>
        </w:rPr>
        <w:t>considers</w:t>
      </w:r>
      <w:r w:rsidRPr="00850658">
        <w:t xml:space="preserve"> that the complainant invokes, in substance, a violation of the right to be free from inhumane or degrading treatment arising out of the </w:t>
      </w:r>
      <w:r w:rsidR="00B843EE" w:rsidRPr="00850658">
        <w:t>abduction</w:t>
      </w:r>
      <w:r w:rsidR="00FC30AF" w:rsidRPr="00850658">
        <w:t xml:space="preserve"> and </w:t>
      </w:r>
      <w:r w:rsidR="00994974" w:rsidRPr="00850658">
        <w:t xml:space="preserve">disappearance </w:t>
      </w:r>
      <w:r w:rsidRPr="00850658">
        <w:t xml:space="preserve">of </w:t>
      </w:r>
      <w:r w:rsidR="00867F40" w:rsidRPr="00850658">
        <w:t>his</w:t>
      </w:r>
      <w:r w:rsidRPr="00850658">
        <w:t xml:space="preserve"> </w:t>
      </w:r>
      <w:r w:rsidR="00AD7F08" w:rsidRPr="00850658">
        <w:t>father</w:t>
      </w:r>
      <w:r w:rsidRPr="00850658">
        <w:t xml:space="preserve">, as guaranteed by Article 3 of the ECHR. </w:t>
      </w:r>
    </w:p>
    <w:p w14:paraId="57419C02" w14:textId="77777777" w:rsidR="00711F6E" w:rsidRPr="00850658" w:rsidRDefault="00711F6E" w:rsidP="00711F6E">
      <w:pPr>
        <w:tabs>
          <w:tab w:val="left" w:pos="709"/>
        </w:tabs>
        <w:suppressAutoHyphens/>
        <w:autoSpaceDE w:val="0"/>
        <w:ind w:left="450"/>
        <w:jc w:val="both"/>
      </w:pPr>
    </w:p>
    <w:p w14:paraId="0B0AD292" w14:textId="77777777" w:rsidR="00711F6E" w:rsidRPr="00850658" w:rsidRDefault="00711F6E" w:rsidP="00711F6E">
      <w:pPr>
        <w:pStyle w:val="ListParagraph1"/>
        <w:numPr>
          <w:ilvl w:val="0"/>
          <w:numId w:val="17"/>
        </w:numPr>
        <w:jc w:val="both"/>
        <w:rPr>
          <w:b/>
        </w:rPr>
      </w:pPr>
      <w:r w:rsidRPr="00850658">
        <w:rPr>
          <w:b/>
        </w:rPr>
        <w:t xml:space="preserve">The scope of the Panel’s review </w:t>
      </w:r>
    </w:p>
    <w:p w14:paraId="393CD659" w14:textId="77777777" w:rsidR="00711F6E" w:rsidRPr="00850658" w:rsidRDefault="00711F6E" w:rsidP="00AD7F08">
      <w:pPr>
        <w:tabs>
          <w:tab w:val="left" w:pos="709"/>
        </w:tabs>
        <w:suppressAutoHyphens/>
        <w:autoSpaceDE w:val="0"/>
        <w:jc w:val="both"/>
      </w:pPr>
    </w:p>
    <w:p w14:paraId="6DF7EDB8" w14:textId="77777777" w:rsidR="00711F6E" w:rsidRPr="00850658" w:rsidRDefault="00711F6E" w:rsidP="00711F6E">
      <w:pPr>
        <w:numPr>
          <w:ilvl w:val="0"/>
          <w:numId w:val="2"/>
        </w:numPr>
        <w:tabs>
          <w:tab w:val="clear" w:pos="360"/>
          <w:tab w:val="left" w:pos="709"/>
        </w:tabs>
        <w:suppressAutoHyphens/>
        <w:autoSpaceDE w:val="0"/>
        <w:ind w:left="450" w:hanging="450"/>
        <w:jc w:val="both"/>
      </w:pPr>
      <w:r w:rsidRPr="00850658">
        <w:t xml:space="preserve">The Panel will consider </w:t>
      </w:r>
      <w:r w:rsidRPr="00850658">
        <w:rPr>
          <w:bCs/>
        </w:rPr>
        <w:t>the</w:t>
      </w:r>
      <w:r w:rsidRPr="00850658">
        <w:t xml:space="preserve"> allegations under Article 3 of the ECHR, applying the same scope of review as was set out with regard to Article 2 (see §§ </w:t>
      </w:r>
      <w:r w:rsidRPr="00850658">
        <w:fldChar w:fldCharType="begin"/>
      </w:r>
      <w:r w:rsidRPr="00850658">
        <w:instrText xml:space="preserve"> REF _Ref409020267 \r \h </w:instrText>
      </w:r>
      <w:r w:rsidR="000D2756" w:rsidRPr="00850658">
        <w:instrText xml:space="preserve"> \* MERGEFORMAT </w:instrText>
      </w:r>
      <w:r w:rsidRPr="00850658">
        <w:fldChar w:fldCharType="separate"/>
      </w:r>
      <w:r w:rsidR="004504C3">
        <w:t>43</w:t>
      </w:r>
      <w:r w:rsidRPr="00850658">
        <w:fldChar w:fldCharType="end"/>
      </w:r>
      <w:r w:rsidRPr="00850658">
        <w:t xml:space="preserve"> - </w:t>
      </w:r>
      <w:r w:rsidRPr="00850658">
        <w:fldChar w:fldCharType="begin"/>
      </w:r>
      <w:r w:rsidRPr="00850658">
        <w:instrText xml:space="preserve"> REF _Ref409020276 \r \h </w:instrText>
      </w:r>
      <w:r w:rsidR="000D2756" w:rsidRPr="00850658">
        <w:instrText xml:space="preserve"> \* MERGEFORMAT </w:instrText>
      </w:r>
      <w:r w:rsidRPr="00850658">
        <w:fldChar w:fldCharType="separate"/>
      </w:r>
      <w:r w:rsidR="004504C3">
        <w:t>47</w:t>
      </w:r>
      <w:r w:rsidRPr="00850658">
        <w:fldChar w:fldCharType="end"/>
      </w:r>
      <w:r w:rsidRPr="00850658">
        <w:t xml:space="preserve"> above).</w:t>
      </w:r>
      <w:bookmarkStart w:id="92" w:name="_Ref374623030"/>
    </w:p>
    <w:p w14:paraId="5B67A06E" w14:textId="77777777" w:rsidR="00711F6E" w:rsidRPr="00850658" w:rsidRDefault="00711F6E" w:rsidP="00711F6E">
      <w:pPr>
        <w:tabs>
          <w:tab w:val="left" w:pos="709"/>
        </w:tabs>
        <w:suppressAutoHyphens/>
        <w:autoSpaceDE w:val="0"/>
        <w:ind w:left="450"/>
        <w:jc w:val="both"/>
      </w:pPr>
    </w:p>
    <w:p w14:paraId="31828E14" w14:textId="77777777" w:rsidR="00711F6E" w:rsidRPr="00850658" w:rsidRDefault="00711F6E" w:rsidP="00711F6E">
      <w:pPr>
        <w:numPr>
          <w:ilvl w:val="0"/>
          <w:numId w:val="2"/>
        </w:numPr>
        <w:tabs>
          <w:tab w:val="clear" w:pos="360"/>
          <w:tab w:val="left" w:pos="709"/>
        </w:tabs>
        <w:suppressAutoHyphens/>
        <w:autoSpaceDE w:val="0"/>
        <w:ind w:left="450" w:hanging="450"/>
        <w:jc w:val="both"/>
      </w:pPr>
      <w:bookmarkStart w:id="93" w:name="_Ref414351884"/>
      <w:r w:rsidRPr="00850658">
        <w:t xml:space="preserve">The Panel recalls that the European Court of Human Rights has found on many occasions that a situation of </w:t>
      </w:r>
      <w:r w:rsidRPr="00850658">
        <w:rPr>
          <w:bCs/>
        </w:rPr>
        <w:t>enforced</w:t>
      </w:r>
      <w:r w:rsidRPr="00850658">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850658">
        <w:rPr>
          <w:i/>
        </w:rPr>
        <w:t>Çakici v. Turkey</w:t>
      </w:r>
      <w:r w:rsidRPr="00850658">
        <w:t xml:space="preserve">, no. 23657/94, judgment of 8 July 1999, § 98, </w:t>
      </w:r>
      <w:r w:rsidRPr="00850658">
        <w:rPr>
          <w:i/>
        </w:rPr>
        <w:t>ECHR</w:t>
      </w:r>
      <w:r w:rsidRPr="00850658">
        <w:t xml:space="preserve">, 1999-IV; ECtHR [GC], </w:t>
      </w:r>
      <w:r w:rsidRPr="00850658">
        <w:rPr>
          <w:i/>
        </w:rPr>
        <w:t>Cyprus v. Turkey</w:t>
      </w:r>
      <w:r w:rsidRPr="00850658">
        <w:t>, no. 25781/94, judgment of 10 May 2001, § 156,</w:t>
      </w:r>
      <w:r w:rsidRPr="00850658">
        <w:rPr>
          <w:i/>
        </w:rPr>
        <w:t xml:space="preserve"> ECHR</w:t>
      </w:r>
      <w:r w:rsidRPr="00850658">
        <w:t xml:space="preserve">, 2001-IV; ECtHR, </w:t>
      </w:r>
      <w:r w:rsidRPr="00850658">
        <w:rPr>
          <w:i/>
        </w:rPr>
        <w:t>Orhan v. Turkey</w:t>
      </w:r>
      <w:r w:rsidRPr="00850658">
        <w:t xml:space="preserve">, no. 25656/94, judgment of 18 June 2002, § 358; ECtHR, </w:t>
      </w:r>
      <w:r w:rsidRPr="00850658">
        <w:rPr>
          <w:i/>
        </w:rPr>
        <w:t>Bazorkina v. Russia</w:t>
      </w:r>
      <w:r w:rsidRPr="00850658">
        <w:t xml:space="preserve">, cited in § </w:t>
      </w:r>
      <w:r w:rsidR="00FC30AF" w:rsidRPr="00850658">
        <w:fldChar w:fldCharType="begin"/>
      </w:r>
      <w:r w:rsidR="00FC30AF" w:rsidRPr="00850658">
        <w:instrText xml:space="preserve"> REF _Ref366241459 \r \h </w:instrText>
      </w:r>
      <w:r w:rsidR="000D2756" w:rsidRPr="00850658">
        <w:instrText xml:space="preserve"> \* MERGEFORMAT </w:instrText>
      </w:r>
      <w:r w:rsidR="00FC30AF" w:rsidRPr="00850658">
        <w:fldChar w:fldCharType="separate"/>
      </w:r>
      <w:r w:rsidR="004504C3">
        <w:t>86</w:t>
      </w:r>
      <w:r w:rsidR="00FC30AF" w:rsidRPr="00850658">
        <w:fldChar w:fldCharType="end"/>
      </w:r>
      <w:r w:rsidR="00FC30AF" w:rsidRPr="00850658">
        <w:t xml:space="preserve"> </w:t>
      </w:r>
      <w:r w:rsidRPr="00850658">
        <w:t xml:space="preserve">above, at § 139; ECtHR, </w:t>
      </w:r>
      <w:r w:rsidRPr="00850658">
        <w:rPr>
          <w:i/>
        </w:rPr>
        <w:t>Palić v. Bosnia and Herzegovina,</w:t>
      </w:r>
      <w:r w:rsidRPr="00850658">
        <w:t xml:space="preserve"> cited in § </w:t>
      </w:r>
      <w:r w:rsidR="00FC30AF" w:rsidRPr="00850658">
        <w:fldChar w:fldCharType="begin"/>
      </w:r>
      <w:r w:rsidR="00FC30AF" w:rsidRPr="00850658">
        <w:instrText xml:space="preserve"> REF _Ref366239979 \r \h </w:instrText>
      </w:r>
      <w:r w:rsidR="000D2756" w:rsidRPr="00850658">
        <w:instrText xml:space="preserve"> \* MERGEFORMAT </w:instrText>
      </w:r>
      <w:r w:rsidR="00FC30AF" w:rsidRPr="00850658">
        <w:fldChar w:fldCharType="separate"/>
      </w:r>
      <w:r w:rsidR="004504C3">
        <w:t>75</w:t>
      </w:r>
      <w:r w:rsidR="00FC30AF" w:rsidRPr="00850658">
        <w:fldChar w:fldCharType="end"/>
      </w:r>
      <w:r w:rsidRPr="00850658">
        <w:t xml:space="preserve"> above, at § 74; ECtHR, </w:t>
      </w:r>
      <w:r w:rsidRPr="00850658">
        <w:rPr>
          <w:i/>
        </w:rPr>
        <w:t>Alpatu Israilova v. Russia</w:t>
      </w:r>
      <w:r w:rsidRPr="00850658">
        <w:t xml:space="preserve">, no. 15438/05, judgment of 14 March 2013, § 69; see also HRAP, </w:t>
      </w:r>
      <w:r w:rsidRPr="00850658">
        <w:rPr>
          <w:i/>
        </w:rPr>
        <w:t>Zdravković</w:t>
      </w:r>
      <w:r w:rsidRPr="00850658">
        <w:t xml:space="preserve">, no. 46/08, decision of 17 April 2009, § 41). “It is especially in respect of the latter that a relative may claim directly to be a victim of the authorities’ conduct” (see, among others, ECtHR, </w:t>
      </w:r>
      <w:r w:rsidRPr="00850658">
        <w:rPr>
          <w:i/>
        </w:rPr>
        <w:t>Er and Others v. Turkey</w:t>
      </w:r>
      <w:r w:rsidRPr="00850658">
        <w:t>, no. 23016/04, judgment of 31 July 2012, § 94).</w:t>
      </w:r>
      <w:bookmarkStart w:id="94" w:name="_Ref374623316"/>
      <w:bookmarkEnd w:id="92"/>
      <w:bookmarkEnd w:id="93"/>
    </w:p>
    <w:p w14:paraId="7891613D" w14:textId="77777777" w:rsidR="00711F6E" w:rsidRPr="00850658" w:rsidRDefault="00711F6E" w:rsidP="00711F6E">
      <w:pPr>
        <w:tabs>
          <w:tab w:val="left" w:pos="709"/>
        </w:tabs>
        <w:suppressAutoHyphens/>
        <w:autoSpaceDE w:val="0"/>
        <w:ind w:left="450"/>
        <w:jc w:val="both"/>
      </w:pPr>
    </w:p>
    <w:p w14:paraId="7C4C6867" w14:textId="77777777" w:rsidR="00711F6E" w:rsidRPr="00850658" w:rsidRDefault="00711F6E" w:rsidP="00711F6E">
      <w:pPr>
        <w:numPr>
          <w:ilvl w:val="0"/>
          <w:numId w:val="2"/>
        </w:numPr>
        <w:tabs>
          <w:tab w:val="clear" w:pos="360"/>
          <w:tab w:val="left" w:pos="709"/>
        </w:tabs>
        <w:suppressAutoHyphens/>
        <w:autoSpaceDE w:val="0"/>
        <w:ind w:left="450" w:hanging="450"/>
        <w:jc w:val="both"/>
      </w:pPr>
      <w:bookmarkStart w:id="95" w:name="_Ref414352007"/>
      <w:r w:rsidRPr="00850658">
        <w:t xml:space="preserve">Lastly, where  </w:t>
      </w:r>
      <w:r w:rsidRPr="00850658">
        <w:rPr>
          <w:bCs/>
        </w:rPr>
        <w:t>mental</w:t>
      </w:r>
      <w:r w:rsidRPr="00850658">
        <w:t xml:space="preserve"> suffering caused by the authorities’ reactions to the disappearance is at stake, the alleged violation is contrary to the substantive element of Article 3 of the </w:t>
      </w:r>
      <w:r w:rsidRPr="00850658">
        <w:lastRenderedPageBreak/>
        <w:t xml:space="preserve">ECHR, not its procedural element, as is the case with regard to Article 2 (ECtHR, </w:t>
      </w:r>
      <w:r w:rsidRPr="00850658">
        <w:rPr>
          <w:i/>
        </w:rPr>
        <w:t>Gelayevy v. Russia</w:t>
      </w:r>
      <w:r w:rsidRPr="00850658">
        <w:t>, no. 20216/07, judgment of 15 July 2010, §§ 147 - 148).</w:t>
      </w:r>
      <w:bookmarkEnd w:id="94"/>
      <w:bookmarkEnd w:id="95"/>
    </w:p>
    <w:p w14:paraId="1A4E3261" w14:textId="77777777" w:rsidR="00711F6E" w:rsidRPr="00850658" w:rsidRDefault="00711F6E" w:rsidP="00711F6E">
      <w:pPr>
        <w:pStyle w:val="ListParagraph1"/>
        <w:ind w:left="0"/>
        <w:jc w:val="both"/>
        <w:rPr>
          <w:b/>
        </w:rPr>
      </w:pPr>
    </w:p>
    <w:p w14:paraId="44EF6990" w14:textId="77777777" w:rsidR="00711F6E" w:rsidRPr="00850658" w:rsidRDefault="00711F6E" w:rsidP="00711F6E">
      <w:pPr>
        <w:pStyle w:val="ListParagraph1"/>
        <w:numPr>
          <w:ilvl w:val="0"/>
          <w:numId w:val="17"/>
        </w:numPr>
        <w:jc w:val="both"/>
        <w:rPr>
          <w:b/>
        </w:rPr>
      </w:pPr>
      <w:r w:rsidRPr="00850658">
        <w:rPr>
          <w:b/>
        </w:rPr>
        <w:t xml:space="preserve">The Parties’ submissions </w:t>
      </w:r>
    </w:p>
    <w:p w14:paraId="2FB1873D" w14:textId="77777777" w:rsidR="00711F6E" w:rsidRPr="00850658" w:rsidRDefault="00711F6E" w:rsidP="00711F6E">
      <w:pPr>
        <w:suppressAutoHyphens/>
        <w:autoSpaceDE w:val="0"/>
        <w:ind w:left="360"/>
        <w:jc w:val="both"/>
      </w:pPr>
    </w:p>
    <w:p w14:paraId="489E0567" w14:textId="2F126F62" w:rsidR="00711F6E" w:rsidRPr="00850658" w:rsidRDefault="00711F6E" w:rsidP="00B43D05">
      <w:pPr>
        <w:numPr>
          <w:ilvl w:val="0"/>
          <w:numId w:val="2"/>
        </w:numPr>
        <w:tabs>
          <w:tab w:val="clear" w:pos="360"/>
          <w:tab w:val="left" w:pos="709"/>
        </w:tabs>
        <w:suppressAutoHyphens/>
        <w:autoSpaceDE w:val="0"/>
        <w:ind w:left="450" w:hanging="450"/>
        <w:jc w:val="both"/>
      </w:pPr>
      <w:r w:rsidRPr="00850658">
        <w:t xml:space="preserve">The complainant alleges that the lack of information and certainty surrounding </w:t>
      </w:r>
      <w:r w:rsidRPr="00850658">
        <w:rPr>
          <w:bCs/>
        </w:rPr>
        <w:t>the</w:t>
      </w:r>
      <w:r w:rsidRPr="00850658">
        <w:t xml:space="preserve"> </w:t>
      </w:r>
      <w:r w:rsidR="00AD7F08" w:rsidRPr="00850658">
        <w:t xml:space="preserve">abduction and disappearance of Mr </w:t>
      </w:r>
      <w:r w:rsidR="005D110D" w:rsidRPr="00850658">
        <w:t>Jovan Jovanović</w:t>
      </w:r>
      <w:r w:rsidRPr="00850658">
        <w:t xml:space="preserve">, particularly because of UNMIK’s failure to properly investigate his </w:t>
      </w:r>
      <w:r w:rsidR="008C0652" w:rsidRPr="00850658">
        <w:t>abduction and disappearance</w:t>
      </w:r>
      <w:r w:rsidR="00BE43D0" w:rsidRPr="00850658">
        <w:t>, caused mental suffering to him and his</w:t>
      </w:r>
      <w:r w:rsidRPr="00850658">
        <w:t xml:space="preserve"> family.</w:t>
      </w:r>
    </w:p>
    <w:p w14:paraId="71421CE0" w14:textId="77777777" w:rsidR="00711F6E" w:rsidRPr="00850658" w:rsidRDefault="00711F6E" w:rsidP="00711F6E">
      <w:pPr>
        <w:pStyle w:val="ListParagraph"/>
        <w:tabs>
          <w:tab w:val="num" w:pos="450"/>
        </w:tabs>
        <w:autoSpaceDE w:val="0"/>
        <w:ind w:left="450" w:hanging="450"/>
        <w:jc w:val="both"/>
      </w:pPr>
    </w:p>
    <w:p w14:paraId="105AC320" w14:textId="5EE27BB7" w:rsidR="00711F6E" w:rsidRPr="00850658" w:rsidRDefault="00711F6E" w:rsidP="00711F6E">
      <w:pPr>
        <w:pStyle w:val="ListParagraph"/>
        <w:numPr>
          <w:ilvl w:val="0"/>
          <w:numId w:val="2"/>
        </w:numPr>
        <w:tabs>
          <w:tab w:val="clear" w:pos="360"/>
          <w:tab w:val="num" w:pos="450"/>
        </w:tabs>
        <w:autoSpaceDE w:val="0"/>
        <w:ind w:left="450" w:hanging="450"/>
        <w:jc w:val="both"/>
      </w:pPr>
      <w:bookmarkStart w:id="96" w:name="_Ref374625321"/>
      <w:r w:rsidRPr="00850658">
        <w:t xml:space="preserve">Commenting on this part of the complaint, the SRSG rejects the allegations. The SRSG further argues that no allegations have been made by the complainant “of any bad faith on the part of the UNMIK staff involved with the matter, nor of any action by UNMIK that would have evidenced any disregard for the seriousness of the matter or the emotions of the complainant and of </w:t>
      </w:r>
      <w:r w:rsidR="00AD7F08" w:rsidRPr="00850658">
        <w:t>h</w:t>
      </w:r>
      <w:r w:rsidR="00487680">
        <w:t>is</w:t>
      </w:r>
      <w:r w:rsidR="00AD7F08" w:rsidRPr="00850658">
        <w:t xml:space="preserve"> </w:t>
      </w:r>
      <w:r w:rsidR="00253F95" w:rsidRPr="00850658">
        <w:t>[</w:t>
      </w:r>
      <w:r w:rsidR="00253F95" w:rsidRPr="00850658">
        <w:rPr>
          <w:i/>
        </w:rPr>
        <w:t>sic</w:t>
      </w:r>
      <w:r w:rsidR="00253F95" w:rsidRPr="00850658">
        <w:t xml:space="preserve">] </w:t>
      </w:r>
      <w:r w:rsidRPr="00850658">
        <w:t>family in relation with the disappearance of</w:t>
      </w:r>
      <w:r w:rsidR="00AD7F08" w:rsidRPr="00850658">
        <w:rPr>
          <w:b/>
        </w:rPr>
        <w:t xml:space="preserve"> </w:t>
      </w:r>
      <w:r w:rsidR="00AD7F08" w:rsidRPr="00850658">
        <w:t xml:space="preserve">Mr. </w:t>
      </w:r>
      <w:r w:rsidR="00253F95" w:rsidRPr="00850658">
        <w:t>Jovanović</w:t>
      </w:r>
      <w:r w:rsidRPr="00850658">
        <w:t xml:space="preserve">.” The SRSG also states that there is no evidence that, when responding to the complainant’s enquiries, UNMIK acted “in a manner which may amount to a violation of Article 3”. </w:t>
      </w:r>
    </w:p>
    <w:p w14:paraId="04FC5EF2" w14:textId="77777777" w:rsidR="00711F6E" w:rsidRPr="00850658" w:rsidRDefault="00711F6E" w:rsidP="00711F6E">
      <w:pPr>
        <w:pStyle w:val="ListParagraph"/>
      </w:pPr>
    </w:p>
    <w:p w14:paraId="60D325DB" w14:textId="77777777" w:rsidR="00711F6E" w:rsidRPr="00850658" w:rsidRDefault="00711F6E" w:rsidP="00711F6E">
      <w:pPr>
        <w:pStyle w:val="ListParagraph"/>
        <w:numPr>
          <w:ilvl w:val="0"/>
          <w:numId w:val="2"/>
        </w:numPr>
        <w:tabs>
          <w:tab w:val="clear" w:pos="360"/>
          <w:tab w:val="num" w:pos="450"/>
        </w:tabs>
        <w:autoSpaceDE w:val="0"/>
        <w:ind w:left="450" w:hanging="450"/>
        <w:jc w:val="both"/>
      </w:pPr>
      <w:r w:rsidRPr="00850658">
        <w:t xml:space="preserve">The SRSG does not dispute the mental anguish and suffering of the complainant; however he argues that this is not attributable to UNMIK as it is rather “a result of the inherent suffering that results from the disappearance of a close family member.” He states that, in this sense, the European Court has held that the suffering family members must have a “character distinct” from the emotional distress which may be regarded as inevitably caused to the relatives of a victim of a serious human rights violation. </w:t>
      </w:r>
    </w:p>
    <w:p w14:paraId="1F602863" w14:textId="77777777" w:rsidR="00711F6E" w:rsidRPr="00850658" w:rsidRDefault="00711F6E" w:rsidP="00711F6E">
      <w:pPr>
        <w:pStyle w:val="ListParagraph"/>
        <w:tabs>
          <w:tab w:val="left" w:pos="3885"/>
        </w:tabs>
        <w:autoSpaceDE w:val="0"/>
        <w:ind w:left="450"/>
        <w:jc w:val="both"/>
      </w:pPr>
      <w:r w:rsidRPr="00850658">
        <w:t xml:space="preserve"> </w:t>
      </w:r>
      <w:r w:rsidRPr="00850658">
        <w:tab/>
      </w:r>
    </w:p>
    <w:p w14:paraId="46FA3209" w14:textId="77777777" w:rsidR="00711F6E" w:rsidRPr="00850658" w:rsidRDefault="00711F6E" w:rsidP="00711F6E">
      <w:pPr>
        <w:pStyle w:val="ListParagraph"/>
        <w:numPr>
          <w:ilvl w:val="0"/>
          <w:numId w:val="2"/>
        </w:numPr>
        <w:tabs>
          <w:tab w:val="clear" w:pos="360"/>
          <w:tab w:val="num" w:pos="450"/>
        </w:tabs>
        <w:autoSpaceDE w:val="0"/>
        <w:ind w:left="450" w:hanging="450"/>
        <w:jc w:val="both"/>
      </w:pPr>
      <w:r w:rsidRPr="00850658">
        <w:t xml:space="preserve">The SRSG therefore argues that there has been no violation of Article 3. </w:t>
      </w:r>
    </w:p>
    <w:bookmarkEnd w:id="96"/>
    <w:p w14:paraId="075E5578" w14:textId="77777777" w:rsidR="00711F6E" w:rsidRPr="00850658" w:rsidRDefault="00711F6E" w:rsidP="00711F6E">
      <w:pPr>
        <w:pStyle w:val="ListParagraph1"/>
        <w:ind w:left="0"/>
        <w:jc w:val="both"/>
        <w:rPr>
          <w:b/>
        </w:rPr>
      </w:pPr>
    </w:p>
    <w:p w14:paraId="49019A09" w14:textId="77777777" w:rsidR="00711F6E" w:rsidRPr="00850658" w:rsidRDefault="00711F6E" w:rsidP="00711F6E">
      <w:pPr>
        <w:pStyle w:val="ListParagraph1"/>
        <w:numPr>
          <w:ilvl w:val="0"/>
          <w:numId w:val="17"/>
        </w:numPr>
        <w:jc w:val="both"/>
        <w:rPr>
          <w:b/>
        </w:rPr>
      </w:pPr>
      <w:r w:rsidRPr="00850658">
        <w:rPr>
          <w:b/>
        </w:rPr>
        <w:t xml:space="preserve">The Panel’s assessment </w:t>
      </w:r>
    </w:p>
    <w:p w14:paraId="5D7F2302" w14:textId="77777777" w:rsidR="00711F6E" w:rsidRPr="00850658" w:rsidRDefault="00711F6E" w:rsidP="00711F6E">
      <w:pPr>
        <w:pStyle w:val="ListParagraph1"/>
        <w:ind w:left="0"/>
        <w:jc w:val="both"/>
        <w:rPr>
          <w:b/>
        </w:rPr>
      </w:pPr>
    </w:p>
    <w:p w14:paraId="716EF876" w14:textId="77777777" w:rsidR="00711F6E" w:rsidRPr="00850658" w:rsidRDefault="00711F6E" w:rsidP="00711F6E">
      <w:pPr>
        <w:pStyle w:val="ListParagraph1"/>
        <w:numPr>
          <w:ilvl w:val="0"/>
          <w:numId w:val="16"/>
        </w:numPr>
        <w:ind w:left="360"/>
        <w:jc w:val="both"/>
        <w:rPr>
          <w:b/>
        </w:rPr>
      </w:pPr>
      <w:r w:rsidRPr="00850658">
        <w:rPr>
          <w:i/>
          <w:lang w:eastAsia="en-US"/>
        </w:rPr>
        <w:t xml:space="preserve"> General principles concerning the obligation under Article 3</w:t>
      </w:r>
    </w:p>
    <w:p w14:paraId="493EC6EB" w14:textId="77777777" w:rsidR="00711F6E" w:rsidRPr="00850658" w:rsidRDefault="00711F6E" w:rsidP="00711F6E">
      <w:pPr>
        <w:autoSpaceDE w:val="0"/>
        <w:jc w:val="both"/>
        <w:rPr>
          <w:lang w:eastAsia="ar-SA"/>
        </w:rPr>
      </w:pPr>
    </w:p>
    <w:p w14:paraId="08620F8C" w14:textId="77777777" w:rsidR="00711F6E" w:rsidRPr="00850658" w:rsidRDefault="00711F6E" w:rsidP="00B43D05">
      <w:pPr>
        <w:pStyle w:val="ListParagraph"/>
        <w:numPr>
          <w:ilvl w:val="0"/>
          <w:numId w:val="2"/>
        </w:numPr>
        <w:tabs>
          <w:tab w:val="clear" w:pos="360"/>
          <w:tab w:val="num" w:pos="450"/>
        </w:tabs>
        <w:autoSpaceDE w:val="0"/>
        <w:ind w:left="450" w:hanging="450"/>
        <w:jc w:val="both"/>
      </w:pPr>
      <w:bookmarkStart w:id="97" w:name="_Ref401074681"/>
      <w:r w:rsidRPr="00850658">
        <w:t xml:space="preserve">Like Article 2, Article 3 of the ECHR enshrines one of the most fundamental values in democratic societies (ECtHR, </w:t>
      </w:r>
      <w:r w:rsidRPr="00850658">
        <w:rPr>
          <w:i/>
        </w:rPr>
        <w:t>Talat Tepe v. Turkey</w:t>
      </w:r>
      <w:r w:rsidRPr="00850658">
        <w:t xml:space="preserve">, no. 31247/96, 21 December 2004, § 47; ECtHR [GC], </w:t>
      </w:r>
      <w:r w:rsidRPr="00850658">
        <w:rPr>
          <w:i/>
        </w:rPr>
        <w:t>Ilaşcu and Others v. Moldova and Russia</w:t>
      </w:r>
      <w:r w:rsidRPr="00850658">
        <w:t xml:space="preserve">, no. 48787/99, judgment of 8 July 2004, </w:t>
      </w:r>
      <w:r w:rsidRPr="00850658">
        <w:rPr>
          <w:i/>
        </w:rPr>
        <w:t>ECHR</w:t>
      </w:r>
      <w:r w:rsidRPr="00850658">
        <w:t>, 2004-VII, § 424). As confirmed by the absolute nature conferred on it by Article 15 § 2 of the ECHR, the prohibition of torture and inhuman and degrading treatment still applies even in most difficult circumstances.</w:t>
      </w:r>
      <w:bookmarkEnd w:id="97"/>
    </w:p>
    <w:p w14:paraId="34FB3019" w14:textId="77777777" w:rsidR="00711F6E" w:rsidRPr="00850658" w:rsidRDefault="00711F6E" w:rsidP="00711F6E">
      <w:pPr>
        <w:tabs>
          <w:tab w:val="num" w:pos="450"/>
        </w:tabs>
        <w:suppressAutoHyphens/>
        <w:autoSpaceDE w:val="0"/>
        <w:ind w:left="450" w:hanging="450"/>
        <w:jc w:val="both"/>
      </w:pPr>
    </w:p>
    <w:p w14:paraId="2370F870" w14:textId="77777777" w:rsidR="00711F6E" w:rsidRPr="00850658" w:rsidRDefault="00711F6E" w:rsidP="00B43D05">
      <w:pPr>
        <w:pStyle w:val="ListParagraph"/>
        <w:numPr>
          <w:ilvl w:val="0"/>
          <w:numId w:val="2"/>
        </w:numPr>
        <w:tabs>
          <w:tab w:val="clear" w:pos="360"/>
          <w:tab w:val="num" w:pos="450"/>
        </w:tabs>
        <w:autoSpaceDE w:val="0"/>
        <w:ind w:left="450" w:hanging="450"/>
        <w:jc w:val="both"/>
      </w:pPr>
      <w:r w:rsidRPr="00850658">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850658">
        <w:rPr>
          <w:i/>
        </w:rPr>
        <w:t>Velásquez-Rodríguez v. Honduras</w:t>
      </w:r>
      <w:r w:rsidRPr="00850658">
        <w:t xml:space="preserve">, cited in § </w:t>
      </w:r>
      <w:r w:rsidR="00FC30AF" w:rsidRPr="00850658">
        <w:fldChar w:fldCharType="begin"/>
      </w:r>
      <w:r w:rsidR="00FC30AF" w:rsidRPr="00850658">
        <w:instrText xml:space="preserve"> REF _Ref409081615 \r \h </w:instrText>
      </w:r>
      <w:r w:rsidR="000D2756" w:rsidRPr="00850658">
        <w:instrText xml:space="preserve"> \* MERGEFORMAT </w:instrText>
      </w:r>
      <w:r w:rsidR="00FC30AF" w:rsidRPr="00850658">
        <w:fldChar w:fldCharType="separate"/>
      </w:r>
      <w:r w:rsidR="004504C3">
        <w:t>71</w:t>
      </w:r>
      <w:r w:rsidR="00FC30AF" w:rsidRPr="00850658">
        <w:fldChar w:fldCharType="end"/>
      </w:r>
      <w:r w:rsidRPr="00850658">
        <w:t xml:space="preserve"> above, at § 150). </w:t>
      </w:r>
    </w:p>
    <w:p w14:paraId="3FF7B3DC" w14:textId="77777777" w:rsidR="00711F6E" w:rsidRPr="00850658" w:rsidRDefault="00711F6E" w:rsidP="00711F6E">
      <w:pPr>
        <w:pStyle w:val="ListParagraph"/>
        <w:tabs>
          <w:tab w:val="num" w:pos="450"/>
        </w:tabs>
        <w:ind w:left="450" w:hanging="450"/>
      </w:pPr>
    </w:p>
    <w:p w14:paraId="1CBBCA3A" w14:textId="77777777" w:rsidR="00711F6E" w:rsidRPr="00850658" w:rsidRDefault="00711F6E" w:rsidP="00B43D05">
      <w:pPr>
        <w:pStyle w:val="ListParagraph"/>
        <w:numPr>
          <w:ilvl w:val="0"/>
          <w:numId w:val="2"/>
        </w:numPr>
        <w:tabs>
          <w:tab w:val="clear" w:pos="360"/>
          <w:tab w:val="num" w:pos="450"/>
        </w:tabs>
        <w:autoSpaceDE w:val="0"/>
        <w:ind w:left="450" w:hanging="450"/>
        <w:jc w:val="both"/>
      </w:pPr>
      <w:r w:rsidRPr="00850658">
        <w:t xml:space="preserve">The Panel observes that the obligation under Article 3 of the ECHR differs from the procedural obligation on the authorities under Article 2. Whereas the latter requires the </w:t>
      </w:r>
      <w:r w:rsidRPr="00850658">
        <w:lastRenderedPageBreak/>
        <w:t>authorities to take specific legal action capable of leading to identification and punishment of those responsible, the former is more general and humanitarian and relates to their reaction to the plight of the relatives of those who have disappeared or died.</w:t>
      </w:r>
    </w:p>
    <w:p w14:paraId="6B49DB99" w14:textId="77777777" w:rsidR="00711F6E" w:rsidRPr="00850658" w:rsidRDefault="00711F6E" w:rsidP="00711F6E">
      <w:pPr>
        <w:pStyle w:val="ListParagraph"/>
        <w:tabs>
          <w:tab w:val="num" w:pos="450"/>
        </w:tabs>
        <w:ind w:left="450" w:hanging="450"/>
      </w:pPr>
    </w:p>
    <w:p w14:paraId="0B7A7632" w14:textId="77777777" w:rsidR="00711F6E" w:rsidRPr="00850658" w:rsidRDefault="00711F6E" w:rsidP="00B43D05">
      <w:pPr>
        <w:pStyle w:val="ListParagraph"/>
        <w:numPr>
          <w:ilvl w:val="0"/>
          <w:numId w:val="2"/>
        </w:numPr>
        <w:tabs>
          <w:tab w:val="clear" w:pos="360"/>
          <w:tab w:val="num" w:pos="450"/>
        </w:tabs>
        <w:autoSpaceDE w:val="0"/>
        <w:ind w:left="450" w:hanging="450"/>
        <w:jc w:val="both"/>
      </w:pPr>
      <w:r w:rsidRPr="00850658">
        <w:t xml:space="preserve">The HRC has also recognised disappearances as a serious violation of human rights. In its decision of 21 July 1983, in the case </w:t>
      </w:r>
      <w:r w:rsidRPr="00850658">
        <w:rPr>
          <w:i/>
        </w:rPr>
        <w:t>Quinteros v. Urugay</w:t>
      </w:r>
      <w:r w:rsidRPr="00850658">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850658">
        <w:rPr>
          <w:i/>
        </w:rPr>
        <w:t>Mojica v. Dominican Republic</w:t>
      </w:r>
      <w:r w:rsidRPr="00850658">
        <w:t xml:space="preserve">, the HRC has deemed that “the disappearance of persons is inseparably linked to treatment that amounts to a violation of article 7 </w:t>
      </w:r>
      <w:r w:rsidRPr="00850658">
        <w:sym w:font="Symbol" w:char="F05B"/>
      </w:r>
      <w:r w:rsidRPr="00850658">
        <w:t>of the Covenant</w:t>
      </w:r>
      <w:r w:rsidRPr="00850658">
        <w:sym w:font="Symbol" w:char="F05D"/>
      </w:r>
      <w:r w:rsidRPr="00850658">
        <w:t xml:space="preserve">”, also prohibiting torture, inhumane or degrading treatment and punishment (see HRC, </w:t>
      </w:r>
      <w:r w:rsidRPr="00850658">
        <w:rPr>
          <w:bCs/>
        </w:rPr>
        <w:t xml:space="preserve">Communication No. 449/1991, U.N. Doc. CCPR/C/51/D/449/1991 (1994), </w:t>
      </w:r>
      <w:r w:rsidRPr="00850658">
        <w:t>§ 5.7).</w:t>
      </w:r>
    </w:p>
    <w:p w14:paraId="74150825" w14:textId="77777777" w:rsidR="00711F6E" w:rsidRPr="00850658" w:rsidRDefault="00711F6E" w:rsidP="00711F6E">
      <w:pPr>
        <w:pStyle w:val="ListParagraph"/>
        <w:tabs>
          <w:tab w:val="num" w:pos="450"/>
        </w:tabs>
        <w:ind w:left="450" w:hanging="450"/>
      </w:pPr>
    </w:p>
    <w:p w14:paraId="65E6652E" w14:textId="0BE57F2F" w:rsidR="00711F6E" w:rsidRPr="00850658" w:rsidRDefault="00711F6E" w:rsidP="00B43D05">
      <w:pPr>
        <w:pStyle w:val="ListParagraph"/>
        <w:numPr>
          <w:ilvl w:val="0"/>
          <w:numId w:val="2"/>
        </w:numPr>
        <w:tabs>
          <w:tab w:val="clear" w:pos="360"/>
          <w:tab w:val="num" w:pos="450"/>
        </w:tabs>
        <w:autoSpaceDE w:val="0"/>
        <w:ind w:left="450" w:hanging="450"/>
        <w:jc w:val="both"/>
      </w:pPr>
      <w:bookmarkStart w:id="98" w:name="_Ref374623221"/>
      <w:r w:rsidRPr="00850658">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850658">
        <w:sym w:font="Symbol" w:char="F05B"/>
      </w:r>
      <w:r w:rsidRPr="00850658">
        <w:t>family member</w:t>
      </w:r>
      <w:r w:rsidRPr="00850658">
        <w:sym w:font="Symbol" w:char="F05D"/>
      </w:r>
      <w:r w:rsidRPr="00850658">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850658">
        <w:rPr>
          <w:i/>
        </w:rPr>
        <w:t>Basayeva and Others v. Russia</w:t>
      </w:r>
      <w:r w:rsidRPr="00850658">
        <w:t xml:space="preserve">, nos. 15441/05 and 20731/04, judgment of 28 May 2009, § 159; ECtHR, </w:t>
      </w:r>
      <w:r w:rsidRPr="00850658">
        <w:rPr>
          <w:i/>
        </w:rPr>
        <w:t>Er and Others v. Turkey</w:t>
      </w:r>
      <w:r w:rsidRPr="00850658">
        <w:t xml:space="preserve">, cited in § </w:t>
      </w:r>
      <w:r w:rsidR="007D034C" w:rsidRPr="00850658">
        <w:fldChar w:fldCharType="begin"/>
      </w:r>
      <w:r w:rsidR="007D034C" w:rsidRPr="00850658">
        <w:instrText xml:space="preserve"> REF _Ref414351884 \r \h  \* MERGEFORMAT </w:instrText>
      </w:r>
      <w:r w:rsidR="007D034C" w:rsidRPr="00850658">
        <w:fldChar w:fldCharType="separate"/>
      </w:r>
      <w:r w:rsidR="004504C3">
        <w:t>117</w:t>
      </w:r>
      <w:r w:rsidR="007D034C" w:rsidRPr="00850658">
        <w:fldChar w:fldCharType="end"/>
      </w:r>
      <w:r w:rsidRPr="00850658">
        <w:t xml:space="preserve"> above, at § 94).</w:t>
      </w:r>
      <w:bookmarkEnd w:id="98"/>
    </w:p>
    <w:p w14:paraId="52C48BB9" w14:textId="77777777" w:rsidR="00711F6E" w:rsidRPr="00850658" w:rsidRDefault="00711F6E" w:rsidP="00711F6E">
      <w:pPr>
        <w:tabs>
          <w:tab w:val="num" w:pos="450"/>
        </w:tabs>
        <w:suppressAutoHyphens/>
        <w:autoSpaceDE w:val="0"/>
        <w:ind w:left="450" w:hanging="450"/>
        <w:jc w:val="both"/>
      </w:pPr>
    </w:p>
    <w:p w14:paraId="59311544" w14:textId="77777777" w:rsidR="00711F6E" w:rsidRPr="00850658" w:rsidRDefault="00711F6E" w:rsidP="00B43D05">
      <w:pPr>
        <w:pStyle w:val="ListParagraph"/>
        <w:numPr>
          <w:ilvl w:val="0"/>
          <w:numId w:val="2"/>
        </w:numPr>
        <w:tabs>
          <w:tab w:val="clear" w:pos="360"/>
          <w:tab w:val="num" w:pos="450"/>
        </w:tabs>
        <w:autoSpaceDE w:val="0"/>
        <w:ind w:left="450" w:hanging="450"/>
        <w:jc w:val="both"/>
      </w:pPr>
      <w:r w:rsidRPr="00850658">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850658">
        <w:rPr>
          <w:i/>
        </w:rPr>
        <w:t>Er and Others v. Turkey,</w:t>
      </w:r>
      <w:r w:rsidRPr="00850658">
        <w:t xml:space="preserve"> cited above, § 96; ECtHR, </w:t>
      </w:r>
      <w:r w:rsidRPr="00850658">
        <w:rPr>
          <w:i/>
        </w:rPr>
        <w:t>Osmanoğlu v. Turkey,</w:t>
      </w:r>
      <w:r w:rsidRPr="00850658">
        <w:t xml:space="preserve"> no. 48804/99, judgment of 24 January 2008, § 97). Another factor leading to a finding of violation of Article 3 of the ECHR is the continuous nature of the psychological suffering of relatives of a victim of a disappearance (ECtHR, </w:t>
      </w:r>
      <w:r w:rsidRPr="00850658">
        <w:rPr>
          <w:i/>
        </w:rPr>
        <w:t>Salakhov and Islyamova v. Ukraine,</w:t>
      </w:r>
      <w:r w:rsidRPr="00850658">
        <w:t xml:space="preserve"> no. 28005/08, judgment of 14 March 2013, § 201).</w:t>
      </w:r>
    </w:p>
    <w:p w14:paraId="4B09C278" w14:textId="77777777" w:rsidR="00711F6E" w:rsidRPr="00850658" w:rsidRDefault="00711F6E" w:rsidP="00711F6E">
      <w:pPr>
        <w:tabs>
          <w:tab w:val="num" w:pos="450"/>
        </w:tabs>
        <w:suppressAutoHyphens/>
        <w:autoSpaceDE w:val="0"/>
        <w:ind w:left="450" w:hanging="450"/>
        <w:jc w:val="both"/>
      </w:pPr>
    </w:p>
    <w:p w14:paraId="50765D98" w14:textId="7E4CDA21" w:rsidR="00711F6E" w:rsidRPr="00850658" w:rsidRDefault="00711F6E" w:rsidP="00B43D05">
      <w:pPr>
        <w:pStyle w:val="ListParagraph"/>
        <w:numPr>
          <w:ilvl w:val="0"/>
          <w:numId w:val="2"/>
        </w:numPr>
        <w:tabs>
          <w:tab w:val="clear" w:pos="360"/>
          <w:tab w:val="num" w:pos="450"/>
        </w:tabs>
        <w:autoSpaceDE w:val="0"/>
        <w:ind w:left="450" w:hanging="450"/>
        <w:jc w:val="both"/>
      </w:pPr>
      <w:r w:rsidRPr="00850658">
        <w:t>The HRC has also considered the issue and recognised family members of disappeared or missing persons as victims of a violation of Article 7 of the Covenant: parents (</w:t>
      </w:r>
      <w:r w:rsidRPr="00850658">
        <w:rPr>
          <w:i/>
        </w:rPr>
        <w:t>Boucherf v. Algeria</w:t>
      </w:r>
      <w:r w:rsidRPr="00850658">
        <w:t xml:space="preserve">, </w:t>
      </w:r>
      <w:r w:rsidRPr="00850658">
        <w:rPr>
          <w:bCs/>
        </w:rPr>
        <w:t>Communication No. 1196/2003</w:t>
      </w:r>
      <w:r w:rsidRPr="00850658">
        <w:t xml:space="preserve">, views of 30 March 2006, § 9.7, </w:t>
      </w:r>
      <w:r w:rsidRPr="00850658">
        <w:lastRenderedPageBreak/>
        <w:t>CCPR/C/86/D/1196/2003), children (</w:t>
      </w:r>
      <w:r w:rsidRPr="00850658">
        <w:rPr>
          <w:i/>
        </w:rPr>
        <w:t>Zarzi v. Algeria</w:t>
      </w:r>
      <w:r w:rsidRPr="00850658">
        <w:t xml:space="preserve">, </w:t>
      </w:r>
      <w:r w:rsidRPr="00850658">
        <w:rPr>
          <w:bCs/>
        </w:rPr>
        <w:t>Communication No. 1780/2008</w:t>
      </w:r>
      <w:r w:rsidRPr="00850658">
        <w:t xml:space="preserve">, views of 22 March 2011, § 7.6, </w:t>
      </w:r>
      <w:r w:rsidRPr="00850658">
        <w:rPr>
          <w:bCs/>
        </w:rPr>
        <w:t>CCPR/C/101/D/1780/2008</w:t>
      </w:r>
      <w:r w:rsidRPr="00850658">
        <w:t>), siblings (</w:t>
      </w:r>
      <w:r w:rsidRPr="00850658">
        <w:rPr>
          <w:i/>
        </w:rPr>
        <w:t>El Abani v. Libyan Arab Jamahiriya,</w:t>
      </w:r>
      <w:r w:rsidR="007D034C" w:rsidRPr="00850658">
        <w:rPr>
          <w:i/>
        </w:rPr>
        <w:t xml:space="preserve"> </w:t>
      </w:r>
      <w:r w:rsidRPr="00850658">
        <w:rPr>
          <w:bCs/>
        </w:rPr>
        <w:t>Communication No. 1640/2007</w:t>
      </w:r>
      <w:r w:rsidRPr="00850658">
        <w:t xml:space="preserve">, views of 26 July 2010, § 7.5, </w:t>
      </w:r>
      <w:r w:rsidRPr="00850658">
        <w:rPr>
          <w:bCs/>
        </w:rPr>
        <w:t>CCPR/C/99/D/1640/2007</w:t>
      </w:r>
      <w:r w:rsidRPr="00850658">
        <w:t>), spouses (</w:t>
      </w:r>
      <w:r w:rsidRPr="00850658">
        <w:rPr>
          <w:i/>
        </w:rPr>
        <w:t>Bousroual v. Algeria</w:t>
      </w:r>
      <w:r w:rsidRPr="00850658">
        <w:t xml:space="preserve">, </w:t>
      </w:r>
      <w:r w:rsidRPr="00850658">
        <w:rPr>
          <w:bCs/>
        </w:rPr>
        <w:t>Communication No. 992/2001, views of</w:t>
      </w:r>
      <w:r w:rsidRPr="00850658">
        <w:t xml:space="preserve"> 30 March 2006, § 9.8, CCPR/C/86/D/992/2001), aunts and uncles (</w:t>
      </w:r>
      <w:r w:rsidRPr="00850658">
        <w:rPr>
          <w:i/>
        </w:rPr>
        <w:t>Benaniza v Algeria,</w:t>
      </w:r>
      <w:r w:rsidRPr="00850658">
        <w:t xml:space="preserve"> views of 26 July 2010, § 9.4, CCPR/C/99/D/1588/2007) (</w:t>
      </w:r>
      <w:r w:rsidRPr="00850658">
        <w:rPr>
          <w:i/>
        </w:rPr>
        <w:t>Bashasha v. Libyan Arab Jamahiriya</w:t>
      </w:r>
      <w:r w:rsidRPr="00850658">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850658">
        <w:rPr>
          <w:i/>
        </w:rPr>
        <w:t>Aboussedra v. Libyan Arab Jamahiriya</w:t>
      </w:r>
      <w:r w:rsidRPr="00850658">
        <w:t xml:space="preserve">, </w:t>
      </w:r>
      <w:r w:rsidRPr="00850658">
        <w:rPr>
          <w:bCs/>
        </w:rPr>
        <w:t>Communication No. 1751/2008,</w:t>
      </w:r>
      <w:r w:rsidRPr="00850658">
        <w:t xml:space="preserve"> views of 25 October 2010, § 7.5, </w:t>
      </w:r>
      <w:r w:rsidRPr="00850658">
        <w:rPr>
          <w:bCs/>
        </w:rPr>
        <w:t>CCPR/C/100/D/1751/2008</w:t>
      </w:r>
      <w:r w:rsidRPr="00850658">
        <w:t xml:space="preserve">). In the case </w:t>
      </w:r>
      <w:r w:rsidRPr="00850658">
        <w:rPr>
          <w:i/>
        </w:rPr>
        <w:t>Amirov v. Russian Federation</w:t>
      </w:r>
      <w:r w:rsidRPr="00850658">
        <w:t xml:space="preserve"> the Committee observed that “</w:t>
      </w:r>
      <w:r w:rsidRPr="00850658">
        <w:sym w:font="Symbol" w:char="F05B"/>
      </w:r>
      <w:r w:rsidRPr="00850658">
        <w:t>w</w:t>
      </w:r>
      <w:r w:rsidRPr="00850658">
        <w:sym w:font="Symbol" w:char="F05D"/>
      </w:r>
      <w:r w:rsidRPr="00850658">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850658">
        <w:rPr>
          <w:i/>
        </w:rPr>
        <w:t>Amirov</w:t>
      </w:r>
      <w:r w:rsidRPr="00850658">
        <w:t>, cited in §</w:t>
      </w:r>
      <w:r w:rsidR="00FC30AF" w:rsidRPr="00850658">
        <w:t xml:space="preserve"> </w:t>
      </w:r>
      <w:r w:rsidR="00FC30AF" w:rsidRPr="00850658">
        <w:fldChar w:fldCharType="begin"/>
      </w:r>
      <w:r w:rsidR="00FC30AF" w:rsidRPr="00850658">
        <w:instrText xml:space="preserve"> REF _Ref404685440 \r \h </w:instrText>
      </w:r>
      <w:r w:rsidR="000D2756" w:rsidRPr="00850658">
        <w:instrText xml:space="preserve"> \* MERGEFORMAT </w:instrText>
      </w:r>
      <w:r w:rsidR="00FC30AF" w:rsidRPr="00850658">
        <w:fldChar w:fldCharType="separate"/>
      </w:r>
      <w:r w:rsidR="004504C3">
        <w:t>87</w:t>
      </w:r>
      <w:r w:rsidR="00FC30AF" w:rsidRPr="00850658">
        <w:fldChar w:fldCharType="end"/>
      </w:r>
      <w:r w:rsidRPr="00850658">
        <w:t xml:space="preserve"> above, at § 11.7).</w:t>
      </w:r>
    </w:p>
    <w:p w14:paraId="67F16E8D" w14:textId="77777777" w:rsidR="00711F6E" w:rsidRPr="00850658" w:rsidRDefault="00711F6E" w:rsidP="00711F6E">
      <w:pPr>
        <w:tabs>
          <w:tab w:val="num" w:pos="450"/>
        </w:tabs>
        <w:suppressAutoHyphens/>
        <w:autoSpaceDE w:val="0"/>
        <w:ind w:left="450" w:hanging="450"/>
        <w:jc w:val="both"/>
      </w:pPr>
    </w:p>
    <w:p w14:paraId="342B0B5D" w14:textId="77777777" w:rsidR="00711F6E" w:rsidRPr="00850658" w:rsidRDefault="00711F6E" w:rsidP="00B43D05">
      <w:pPr>
        <w:pStyle w:val="ListParagraph"/>
        <w:numPr>
          <w:ilvl w:val="0"/>
          <w:numId w:val="2"/>
        </w:numPr>
        <w:tabs>
          <w:tab w:val="clear" w:pos="360"/>
          <w:tab w:val="num" w:pos="450"/>
        </w:tabs>
        <w:autoSpaceDE w:val="0"/>
        <w:ind w:left="450" w:hanging="450"/>
        <w:jc w:val="both"/>
      </w:pPr>
      <w:r w:rsidRPr="00850658">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850658">
        <w:rPr>
          <w:i/>
        </w:rPr>
        <w:t>Açiș v. Turkey</w:t>
      </w:r>
      <w:r w:rsidRPr="00850658">
        <w:t>, no. 7050/05, judgment of 1 February 2011, § 45).</w:t>
      </w:r>
    </w:p>
    <w:p w14:paraId="725FB717" w14:textId="77777777" w:rsidR="00711F6E" w:rsidRPr="00850658" w:rsidRDefault="00711F6E" w:rsidP="00711F6E">
      <w:pPr>
        <w:pStyle w:val="ListParagraph"/>
        <w:tabs>
          <w:tab w:val="num" w:pos="450"/>
        </w:tabs>
        <w:ind w:left="450" w:hanging="450"/>
      </w:pPr>
    </w:p>
    <w:p w14:paraId="5CFFD20F" w14:textId="293BE5D3" w:rsidR="00711F6E" w:rsidRPr="00850658" w:rsidRDefault="00711F6E" w:rsidP="00B43D05">
      <w:pPr>
        <w:pStyle w:val="ListParagraph"/>
        <w:numPr>
          <w:ilvl w:val="0"/>
          <w:numId w:val="2"/>
        </w:numPr>
        <w:tabs>
          <w:tab w:val="clear" w:pos="360"/>
          <w:tab w:val="num" w:pos="450"/>
        </w:tabs>
        <w:autoSpaceDE w:val="0"/>
        <w:ind w:left="450" w:hanging="450"/>
        <w:jc w:val="both"/>
      </w:pPr>
      <w:r w:rsidRPr="00850658">
        <w:t xml:space="preserve">In this respect, it is the position of the European Court that findings under the procedural limb of Article 2 would also be of direct relevance in considering the existence of a violation of Article 3 (see ECtHR, </w:t>
      </w:r>
      <w:r w:rsidRPr="00850658">
        <w:rPr>
          <w:i/>
        </w:rPr>
        <w:t>Basayeva and Others v. Russia</w:t>
      </w:r>
      <w:r w:rsidRPr="00850658">
        <w:t xml:space="preserve">, cited in § </w:t>
      </w:r>
      <w:r w:rsidRPr="00850658">
        <w:fldChar w:fldCharType="begin"/>
      </w:r>
      <w:r w:rsidRPr="00850658">
        <w:instrText xml:space="preserve"> REF _Ref374623221 \r \h  \* MERGEFORMAT </w:instrText>
      </w:r>
      <w:r w:rsidRPr="00850658">
        <w:fldChar w:fldCharType="separate"/>
      </w:r>
      <w:r w:rsidR="004504C3">
        <w:t>127</w:t>
      </w:r>
      <w:r w:rsidRPr="00850658">
        <w:fldChar w:fldCharType="end"/>
      </w:r>
      <w:r w:rsidRPr="00850658">
        <w:t xml:space="preserve"> above, at § 109; ECtHR, </w:t>
      </w:r>
      <w:r w:rsidRPr="00850658">
        <w:rPr>
          <w:i/>
        </w:rPr>
        <w:t>Gelayevy v. Russia</w:t>
      </w:r>
      <w:r w:rsidRPr="00850658">
        <w:t>, cited in §</w:t>
      </w:r>
      <w:r w:rsidR="007D034C" w:rsidRPr="00850658">
        <w:t xml:space="preserve"> </w:t>
      </w:r>
      <w:r w:rsidR="007D034C" w:rsidRPr="00850658">
        <w:fldChar w:fldCharType="begin"/>
      </w:r>
      <w:r w:rsidR="007D034C" w:rsidRPr="00850658">
        <w:instrText xml:space="preserve"> REF _Ref414352007 \r \h  \* MERGEFORMAT </w:instrText>
      </w:r>
      <w:r w:rsidR="007D034C" w:rsidRPr="00850658">
        <w:fldChar w:fldCharType="separate"/>
      </w:r>
      <w:r w:rsidR="004504C3">
        <w:t>118</w:t>
      </w:r>
      <w:r w:rsidR="007D034C" w:rsidRPr="00850658">
        <w:fldChar w:fldCharType="end"/>
      </w:r>
      <w:r w:rsidRPr="00850658">
        <w:t xml:space="preserve"> above, at § 147; ECtHR, </w:t>
      </w:r>
      <w:r w:rsidRPr="00850658">
        <w:rPr>
          <w:i/>
        </w:rPr>
        <w:t>Bazorkina v. Russia</w:t>
      </w:r>
      <w:r w:rsidRPr="00850658">
        <w:t xml:space="preserve">, cited in § </w:t>
      </w:r>
      <w:r w:rsidR="00FC30AF" w:rsidRPr="00850658">
        <w:fldChar w:fldCharType="begin"/>
      </w:r>
      <w:r w:rsidR="00FC30AF" w:rsidRPr="00850658">
        <w:instrText xml:space="preserve"> REF _Ref366241459 \r \h </w:instrText>
      </w:r>
      <w:r w:rsidR="000D2756" w:rsidRPr="00850658">
        <w:instrText xml:space="preserve"> \* MERGEFORMAT </w:instrText>
      </w:r>
      <w:r w:rsidR="00FC30AF" w:rsidRPr="00850658">
        <w:fldChar w:fldCharType="separate"/>
      </w:r>
      <w:r w:rsidR="004504C3">
        <w:t>86</w:t>
      </w:r>
      <w:r w:rsidR="00FC30AF" w:rsidRPr="00850658">
        <w:fldChar w:fldCharType="end"/>
      </w:r>
      <w:r w:rsidRPr="00850658">
        <w:t xml:space="preserve"> above, at § 140).</w:t>
      </w:r>
    </w:p>
    <w:p w14:paraId="5D2A6815" w14:textId="77777777" w:rsidR="00711F6E" w:rsidRPr="00850658" w:rsidRDefault="00711F6E" w:rsidP="00711F6E">
      <w:pPr>
        <w:pStyle w:val="ListParagraph"/>
        <w:tabs>
          <w:tab w:val="num" w:pos="450"/>
        </w:tabs>
        <w:ind w:left="450" w:hanging="450"/>
      </w:pPr>
    </w:p>
    <w:p w14:paraId="3EE7D747" w14:textId="77777777" w:rsidR="00711F6E" w:rsidRPr="00850658" w:rsidRDefault="00711F6E" w:rsidP="00B43D05">
      <w:pPr>
        <w:pStyle w:val="ListParagraph"/>
        <w:numPr>
          <w:ilvl w:val="0"/>
          <w:numId w:val="2"/>
        </w:numPr>
        <w:tabs>
          <w:tab w:val="clear" w:pos="360"/>
          <w:tab w:val="num" w:pos="450"/>
        </w:tabs>
        <w:autoSpaceDE w:val="0"/>
        <w:ind w:left="450" w:hanging="450"/>
        <w:jc w:val="both"/>
      </w:pPr>
      <w:r w:rsidRPr="00850658">
        <w:t xml:space="preserve">The Panel observes that the European Court has already found violations of Article 3 of the ECHR in relation to disappearances in which the State itself was found to be responsible for the abduction (see ECtHR, </w:t>
      </w:r>
      <w:r w:rsidRPr="00850658">
        <w:rPr>
          <w:i/>
        </w:rPr>
        <w:t>Luluyev and Others v. Russia</w:t>
      </w:r>
      <w:r w:rsidRPr="00850658">
        <w:t xml:space="preserve">, no. 69480/01, judgment of 9 November 2006, §§ 117 - 118; ECtHR, </w:t>
      </w:r>
      <w:r w:rsidRPr="00850658">
        <w:rPr>
          <w:i/>
        </w:rPr>
        <w:t>Kukayev v. Russia</w:t>
      </w:r>
      <w:r w:rsidRPr="00850658">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14:paraId="5F3A9CFA" w14:textId="77777777" w:rsidR="00711F6E" w:rsidRPr="00850658" w:rsidRDefault="00711F6E" w:rsidP="00711F6E">
      <w:pPr>
        <w:pStyle w:val="ListParagraph"/>
        <w:tabs>
          <w:tab w:val="num" w:pos="450"/>
        </w:tabs>
        <w:ind w:left="450" w:hanging="450"/>
      </w:pPr>
    </w:p>
    <w:p w14:paraId="66A50905" w14:textId="77777777" w:rsidR="00711F6E" w:rsidRPr="00850658" w:rsidRDefault="00711F6E" w:rsidP="00B43D05">
      <w:pPr>
        <w:pStyle w:val="ListParagraph"/>
        <w:numPr>
          <w:ilvl w:val="0"/>
          <w:numId w:val="2"/>
        </w:numPr>
        <w:tabs>
          <w:tab w:val="clear" w:pos="360"/>
          <w:tab w:val="num" w:pos="450"/>
        </w:tabs>
        <w:autoSpaceDE w:val="0"/>
        <w:ind w:left="450" w:hanging="450"/>
        <w:jc w:val="both"/>
      </w:pPr>
      <w:r w:rsidRPr="00850658">
        <w:lastRenderedPageBreak/>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850658">
        <w:rPr>
          <w:rStyle w:val="sb8d990e2"/>
        </w:rPr>
        <w:t>could have in itself</w:t>
      </w:r>
      <w:r w:rsidRPr="00850658">
        <w:t xml:space="preserve"> caused the applicant mental distress in excess of the minimum level of severity, which is necessary in order to consider treatment as falling within the scope of Article 3 (see, among others, ECtHR, </w:t>
      </w:r>
      <w:r w:rsidRPr="00850658">
        <w:rPr>
          <w:i/>
        </w:rPr>
        <w:t>Tovsultanova v. Russia</w:t>
      </w:r>
      <w:r w:rsidRPr="00850658">
        <w:t xml:space="preserve">, no. 26974/06, judgment of 17 June 2010, § 104; ECtHR, </w:t>
      </w:r>
      <w:r w:rsidRPr="00850658">
        <w:rPr>
          <w:i/>
        </w:rPr>
        <w:t>Shafiyeva v. Russia</w:t>
      </w:r>
      <w:r w:rsidRPr="00850658">
        <w:t>, no. 49379/09, judgment of 3 May 2012, § 103).</w:t>
      </w:r>
    </w:p>
    <w:p w14:paraId="6457FBBA" w14:textId="77777777" w:rsidR="00711F6E" w:rsidRPr="00850658" w:rsidRDefault="00711F6E" w:rsidP="00711F6E">
      <w:pPr>
        <w:pStyle w:val="Default"/>
        <w:tabs>
          <w:tab w:val="left" w:pos="360"/>
          <w:tab w:val="left" w:pos="540"/>
          <w:tab w:val="left" w:pos="720"/>
        </w:tabs>
        <w:ind w:left="450" w:hanging="450"/>
        <w:jc w:val="both"/>
        <w:rPr>
          <w:color w:val="auto"/>
          <w:lang w:val="en-GB"/>
        </w:rPr>
      </w:pPr>
    </w:p>
    <w:p w14:paraId="1E60F287" w14:textId="77777777" w:rsidR="00711F6E" w:rsidRPr="00850658" w:rsidRDefault="00711F6E" w:rsidP="00711F6E">
      <w:pPr>
        <w:pStyle w:val="ListParagraph1"/>
        <w:numPr>
          <w:ilvl w:val="0"/>
          <w:numId w:val="16"/>
        </w:numPr>
        <w:ind w:left="360"/>
        <w:jc w:val="both"/>
        <w:rPr>
          <w:i/>
          <w:lang w:eastAsia="en-US"/>
        </w:rPr>
      </w:pPr>
      <w:r w:rsidRPr="00850658">
        <w:rPr>
          <w:i/>
          <w:lang w:eastAsia="en-US"/>
        </w:rPr>
        <w:t>Applicability of Article 3 to the Kosovo context</w:t>
      </w:r>
    </w:p>
    <w:p w14:paraId="0844E45C" w14:textId="77777777" w:rsidR="00711F6E" w:rsidRPr="00850658" w:rsidRDefault="00711F6E" w:rsidP="00711F6E">
      <w:pPr>
        <w:pStyle w:val="Default"/>
        <w:tabs>
          <w:tab w:val="left" w:pos="360"/>
          <w:tab w:val="left" w:pos="540"/>
          <w:tab w:val="left" w:pos="720"/>
        </w:tabs>
        <w:ind w:hanging="360"/>
        <w:jc w:val="both"/>
        <w:rPr>
          <w:color w:val="auto"/>
          <w:lang w:val="en-GB"/>
        </w:rPr>
      </w:pPr>
    </w:p>
    <w:p w14:paraId="55F9638E" w14:textId="77777777" w:rsidR="00711F6E" w:rsidRPr="00850658" w:rsidRDefault="00711F6E" w:rsidP="00B43D05">
      <w:pPr>
        <w:pStyle w:val="ListParagraph"/>
        <w:numPr>
          <w:ilvl w:val="0"/>
          <w:numId w:val="2"/>
        </w:numPr>
        <w:tabs>
          <w:tab w:val="clear" w:pos="360"/>
          <w:tab w:val="num" w:pos="450"/>
        </w:tabs>
        <w:autoSpaceDE w:val="0"/>
        <w:ind w:left="450" w:hanging="450"/>
        <w:jc w:val="both"/>
      </w:pPr>
      <w:r w:rsidRPr="00850658">
        <w:t xml:space="preserve">With regard to the </w:t>
      </w:r>
      <w:r w:rsidRPr="00850658">
        <w:rPr>
          <w:rStyle w:val="sb8d990e2"/>
        </w:rPr>
        <w:t>applicability</w:t>
      </w:r>
      <w:r w:rsidRPr="00850658">
        <w:t xml:space="preserve"> of the above standards to the Kosovo context, the Panel first refers to its view on the same issue with regard to Article 2, developed above (see §§ </w:t>
      </w:r>
      <w:r w:rsidRPr="00850658">
        <w:fldChar w:fldCharType="begin"/>
      </w:r>
      <w:r w:rsidRPr="00850658">
        <w:instrText xml:space="preserve"> REF _Ref366163783 \r \h </w:instrText>
      </w:r>
      <w:r w:rsidR="000D2756" w:rsidRPr="00850658">
        <w:instrText xml:space="preserve"> \* MERGEFORMAT </w:instrText>
      </w:r>
      <w:r w:rsidRPr="00850658">
        <w:fldChar w:fldCharType="separate"/>
      </w:r>
      <w:r w:rsidR="004504C3">
        <w:t>81</w:t>
      </w:r>
      <w:r w:rsidRPr="00850658">
        <w:fldChar w:fldCharType="end"/>
      </w:r>
      <w:r w:rsidRPr="00850658">
        <w:t xml:space="preserve"> - </w:t>
      </w:r>
      <w:r w:rsidRPr="00850658">
        <w:fldChar w:fldCharType="begin"/>
      </w:r>
      <w:r w:rsidRPr="00850658">
        <w:instrText xml:space="preserve"> REF _Ref403834230 \r \h </w:instrText>
      </w:r>
      <w:r w:rsidR="000D2756" w:rsidRPr="00850658">
        <w:instrText xml:space="preserve"> \* MERGEFORMAT </w:instrText>
      </w:r>
      <w:r w:rsidRPr="00850658">
        <w:fldChar w:fldCharType="separate"/>
      </w:r>
      <w:r w:rsidR="004504C3">
        <w:t>91</w:t>
      </w:r>
      <w:r w:rsidRPr="00850658">
        <w:fldChar w:fldCharType="end"/>
      </w:r>
      <w:r w:rsidRPr="00850658">
        <w:t xml:space="preserve"> above).</w:t>
      </w:r>
    </w:p>
    <w:p w14:paraId="5B6D1906" w14:textId="77777777" w:rsidR="00711F6E" w:rsidRPr="00850658" w:rsidRDefault="00711F6E" w:rsidP="00711F6E">
      <w:pPr>
        <w:pStyle w:val="Default"/>
        <w:tabs>
          <w:tab w:val="num" w:pos="450"/>
        </w:tabs>
        <w:ind w:left="450" w:hanging="450"/>
        <w:jc w:val="both"/>
        <w:rPr>
          <w:color w:val="auto"/>
          <w:lang w:val="en-GB"/>
        </w:rPr>
      </w:pPr>
    </w:p>
    <w:p w14:paraId="0365DE3D" w14:textId="77777777" w:rsidR="00711F6E" w:rsidRPr="00850658" w:rsidRDefault="00711F6E" w:rsidP="00B43D05">
      <w:pPr>
        <w:pStyle w:val="ListParagraph"/>
        <w:numPr>
          <w:ilvl w:val="0"/>
          <w:numId w:val="2"/>
        </w:numPr>
        <w:tabs>
          <w:tab w:val="clear" w:pos="360"/>
          <w:tab w:val="num" w:pos="450"/>
        </w:tabs>
        <w:autoSpaceDE w:val="0"/>
        <w:ind w:left="450" w:hanging="450"/>
        <w:jc w:val="both"/>
      </w:pPr>
      <w:r w:rsidRPr="00850658">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FC30AF" w:rsidRPr="00850658">
        <w:fldChar w:fldCharType="begin"/>
      </w:r>
      <w:r w:rsidR="00FC30AF" w:rsidRPr="00850658">
        <w:instrText xml:space="preserve"> REF _Ref346123767 \r \h </w:instrText>
      </w:r>
      <w:r w:rsidR="000D2756" w:rsidRPr="00850658">
        <w:instrText xml:space="preserve"> \* MERGEFORMAT </w:instrText>
      </w:r>
      <w:r w:rsidR="00FC30AF" w:rsidRPr="00850658">
        <w:fldChar w:fldCharType="separate"/>
      </w:r>
      <w:r w:rsidR="004504C3">
        <w:t>18</w:t>
      </w:r>
      <w:r w:rsidR="00FC30AF" w:rsidRPr="00850658">
        <w:fldChar w:fldCharType="end"/>
      </w:r>
      <w:r w:rsidR="00FC30AF" w:rsidRPr="00850658">
        <w:t xml:space="preserve"> </w:t>
      </w:r>
      <w:r w:rsidRPr="00850658">
        <w:t>above).</w:t>
      </w:r>
    </w:p>
    <w:p w14:paraId="760B8294" w14:textId="77777777" w:rsidR="00711F6E" w:rsidRPr="00850658" w:rsidRDefault="00711F6E" w:rsidP="00711F6E">
      <w:pPr>
        <w:pStyle w:val="ListParagraph"/>
        <w:tabs>
          <w:tab w:val="num" w:pos="450"/>
        </w:tabs>
        <w:ind w:left="450" w:hanging="450"/>
      </w:pPr>
    </w:p>
    <w:p w14:paraId="329D5F5A" w14:textId="77777777" w:rsidR="00711F6E" w:rsidRPr="00850658" w:rsidRDefault="00711F6E" w:rsidP="00B43D05">
      <w:pPr>
        <w:pStyle w:val="ListParagraph"/>
        <w:numPr>
          <w:ilvl w:val="0"/>
          <w:numId w:val="2"/>
        </w:numPr>
        <w:tabs>
          <w:tab w:val="clear" w:pos="360"/>
          <w:tab w:val="num" w:pos="450"/>
        </w:tabs>
        <w:autoSpaceDE w:val="0"/>
        <w:ind w:left="450" w:hanging="450"/>
        <w:jc w:val="both"/>
      </w:pPr>
      <w:r w:rsidRPr="00850658">
        <w:t xml:space="preserve">The Panel again notes that it will not review relevant practices or alleged obstacles to the conduct of effective investigations </w:t>
      </w:r>
      <w:r w:rsidRPr="00850658">
        <w:rPr>
          <w:i/>
        </w:rPr>
        <w:t>in abstracto</w:t>
      </w:r>
      <w:r w:rsidRPr="00850658">
        <w:t>, but only in relation to their specific application to the complaint before it, considering the particular circumstances of the case.</w:t>
      </w:r>
    </w:p>
    <w:p w14:paraId="5A5FD5A3" w14:textId="77777777" w:rsidR="00711F6E" w:rsidRPr="00850658" w:rsidRDefault="00711F6E" w:rsidP="00711F6E">
      <w:pPr>
        <w:pStyle w:val="ListParagraph"/>
        <w:tabs>
          <w:tab w:val="num" w:pos="450"/>
        </w:tabs>
        <w:ind w:left="450" w:hanging="450"/>
      </w:pPr>
    </w:p>
    <w:p w14:paraId="2993B52B" w14:textId="77777777" w:rsidR="00711F6E" w:rsidRPr="00850658" w:rsidRDefault="00711F6E" w:rsidP="00B43D05">
      <w:pPr>
        <w:pStyle w:val="ListParagraph"/>
        <w:numPr>
          <w:ilvl w:val="0"/>
          <w:numId w:val="2"/>
        </w:numPr>
        <w:tabs>
          <w:tab w:val="clear" w:pos="360"/>
          <w:tab w:val="num" w:pos="450"/>
        </w:tabs>
        <w:autoSpaceDE w:val="0"/>
        <w:ind w:left="450" w:hanging="450"/>
        <w:jc w:val="both"/>
      </w:pPr>
      <w:r w:rsidRPr="00850658">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14:paraId="2299FC21" w14:textId="77777777" w:rsidR="00711F6E" w:rsidRPr="00850658" w:rsidRDefault="00711F6E" w:rsidP="00711F6E">
      <w:pPr>
        <w:rPr>
          <w:i/>
        </w:rPr>
      </w:pPr>
    </w:p>
    <w:p w14:paraId="086A38BC" w14:textId="77777777" w:rsidR="00711F6E" w:rsidRPr="00850658" w:rsidRDefault="00711F6E" w:rsidP="00711F6E">
      <w:pPr>
        <w:pStyle w:val="ListParagraph1"/>
        <w:numPr>
          <w:ilvl w:val="0"/>
          <w:numId w:val="16"/>
        </w:numPr>
        <w:ind w:left="360"/>
        <w:jc w:val="both"/>
      </w:pPr>
      <w:r w:rsidRPr="00850658">
        <w:rPr>
          <w:i/>
          <w:lang w:eastAsia="en-US"/>
        </w:rPr>
        <w:t>Compliance</w:t>
      </w:r>
      <w:r w:rsidRPr="00850658">
        <w:rPr>
          <w:i/>
        </w:rPr>
        <w:t xml:space="preserve"> with Article 3 in the present case</w:t>
      </w:r>
    </w:p>
    <w:p w14:paraId="6E0F475B" w14:textId="77777777" w:rsidR="00711F6E" w:rsidRPr="00850658" w:rsidRDefault="00711F6E" w:rsidP="00711F6E">
      <w:pPr>
        <w:pStyle w:val="ListParagraph"/>
        <w:ind w:left="360"/>
      </w:pPr>
    </w:p>
    <w:p w14:paraId="5B315DB3" w14:textId="77777777" w:rsidR="00711F6E" w:rsidRPr="00850658" w:rsidRDefault="00711F6E" w:rsidP="00B43D05">
      <w:pPr>
        <w:pStyle w:val="ListParagraph"/>
        <w:numPr>
          <w:ilvl w:val="0"/>
          <w:numId w:val="2"/>
        </w:numPr>
        <w:tabs>
          <w:tab w:val="clear" w:pos="360"/>
          <w:tab w:val="num" w:pos="450"/>
        </w:tabs>
        <w:autoSpaceDE w:val="0"/>
        <w:ind w:left="450" w:hanging="450"/>
        <w:jc w:val="both"/>
      </w:pPr>
      <w:r w:rsidRPr="00850658">
        <w:t>Against this background, the Panel discerns a number of factors in the present case which, taken together, raise the question of violation of Article 3 of the ECHR.</w:t>
      </w:r>
    </w:p>
    <w:p w14:paraId="0FE48EBF" w14:textId="77777777" w:rsidR="00711F6E" w:rsidRPr="00850658" w:rsidRDefault="00711F6E" w:rsidP="00711F6E">
      <w:pPr>
        <w:pStyle w:val="Default"/>
        <w:tabs>
          <w:tab w:val="num" w:pos="450"/>
        </w:tabs>
        <w:ind w:left="450" w:hanging="450"/>
        <w:jc w:val="both"/>
        <w:rPr>
          <w:color w:val="auto"/>
          <w:lang w:val="en-GB"/>
        </w:rPr>
      </w:pPr>
    </w:p>
    <w:p w14:paraId="4E44EC62" w14:textId="77777777" w:rsidR="00711F6E" w:rsidRPr="00850658" w:rsidRDefault="00711F6E" w:rsidP="00253F95">
      <w:pPr>
        <w:pStyle w:val="ListParagraph"/>
        <w:numPr>
          <w:ilvl w:val="0"/>
          <w:numId w:val="2"/>
        </w:numPr>
        <w:tabs>
          <w:tab w:val="clear" w:pos="360"/>
          <w:tab w:val="num" w:pos="450"/>
        </w:tabs>
        <w:autoSpaceDE w:val="0"/>
        <w:ind w:left="450" w:hanging="450"/>
        <w:jc w:val="both"/>
      </w:pPr>
      <w:r w:rsidRPr="00850658">
        <w:t xml:space="preserve">The Panel notes the proximity of the family ties between the complainant and Mr </w:t>
      </w:r>
      <w:r w:rsidR="00253F95" w:rsidRPr="00850658">
        <w:t>Jovan Jovanović</w:t>
      </w:r>
      <w:r w:rsidRPr="00850658">
        <w:t xml:space="preserve">, as the latter is the complainant’s </w:t>
      </w:r>
      <w:r w:rsidR="00AD7F08" w:rsidRPr="00850658">
        <w:t>father</w:t>
      </w:r>
      <w:r w:rsidRPr="00850658">
        <w:t xml:space="preserve">. </w:t>
      </w:r>
    </w:p>
    <w:p w14:paraId="452D51E1" w14:textId="77777777" w:rsidR="00711F6E" w:rsidRPr="00850658" w:rsidRDefault="00711F6E" w:rsidP="00711F6E">
      <w:pPr>
        <w:tabs>
          <w:tab w:val="num" w:pos="450"/>
        </w:tabs>
        <w:autoSpaceDE w:val="0"/>
        <w:ind w:left="450" w:hanging="450"/>
        <w:jc w:val="both"/>
      </w:pPr>
    </w:p>
    <w:p w14:paraId="76AAFC40" w14:textId="77777777" w:rsidR="00711F6E" w:rsidRPr="00850658" w:rsidRDefault="00711F6E" w:rsidP="00B43D05">
      <w:pPr>
        <w:pStyle w:val="ListParagraph"/>
        <w:numPr>
          <w:ilvl w:val="0"/>
          <w:numId w:val="2"/>
        </w:numPr>
        <w:tabs>
          <w:tab w:val="clear" w:pos="360"/>
          <w:tab w:val="num" w:pos="450"/>
        </w:tabs>
        <w:autoSpaceDE w:val="0"/>
        <w:ind w:left="450" w:hanging="450"/>
        <w:jc w:val="both"/>
      </w:pPr>
      <w:r w:rsidRPr="00850658">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14:paraId="189C2973" w14:textId="77777777" w:rsidR="00711F6E" w:rsidRPr="00850658" w:rsidRDefault="00711F6E" w:rsidP="00711F6E">
      <w:pPr>
        <w:pStyle w:val="ListParagraph"/>
        <w:ind w:left="450" w:hanging="450"/>
      </w:pPr>
    </w:p>
    <w:p w14:paraId="39EEE08B" w14:textId="77777777" w:rsidR="00711F6E" w:rsidRPr="00850658" w:rsidRDefault="00711F6E" w:rsidP="00711F6E">
      <w:pPr>
        <w:numPr>
          <w:ilvl w:val="0"/>
          <w:numId w:val="2"/>
        </w:numPr>
        <w:tabs>
          <w:tab w:val="left" w:pos="709"/>
        </w:tabs>
        <w:suppressAutoHyphens/>
        <w:autoSpaceDE w:val="0"/>
        <w:ind w:left="450" w:hanging="450"/>
        <w:jc w:val="both"/>
      </w:pPr>
      <w:r w:rsidRPr="00850658">
        <w:lastRenderedPageBreak/>
        <w:t>As was shown above with regard to Article 2, no proper investigation was conducted in this case. There has been no evidence presented in the file concerning contact between the complainant and UNMIK authorities</w:t>
      </w:r>
      <w:r w:rsidRPr="00850658">
        <w:rPr>
          <w:bCs/>
        </w:rPr>
        <w:t>; likewise, no statement was ever taken from the complainant, any family member or witness</w:t>
      </w:r>
      <w:r w:rsidRPr="00850658">
        <w:t xml:space="preserve">. </w:t>
      </w:r>
    </w:p>
    <w:p w14:paraId="1C28FE14" w14:textId="77777777" w:rsidR="00711F6E" w:rsidRPr="00850658" w:rsidRDefault="00711F6E" w:rsidP="00711F6E">
      <w:pPr>
        <w:tabs>
          <w:tab w:val="left" w:pos="709"/>
        </w:tabs>
        <w:suppressAutoHyphens/>
        <w:autoSpaceDE w:val="0"/>
        <w:jc w:val="both"/>
      </w:pPr>
    </w:p>
    <w:p w14:paraId="6BA806FA" w14:textId="71AD3334" w:rsidR="00711F6E" w:rsidRPr="00850658" w:rsidRDefault="00711F6E" w:rsidP="00B43D05">
      <w:pPr>
        <w:pStyle w:val="ListParagraph"/>
        <w:numPr>
          <w:ilvl w:val="0"/>
          <w:numId w:val="2"/>
        </w:numPr>
        <w:tabs>
          <w:tab w:val="clear" w:pos="360"/>
          <w:tab w:val="num" w:pos="450"/>
        </w:tabs>
        <w:autoSpaceDE w:val="0"/>
        <w:ind w:left="450" w:hanging="450"/>
        <w:jc w:val="both"/>
      </w:pPr>
      <w:r w:rsidRPr="00850658">
        <w:t xml:space="preserve">In view of the above, the Panel concludes that the complainant has suffered severe distress and anguish for a prolonged period of time on account of the way the authorities of UNMIK have dealt with the case and as a result of their inability during that time to find out what happened to </w:t>
      </w:r>
      <w:r w:rsidR="00253F95" w:rsidRPr="00850658">
        <w:t xml:space="preserve">his </w:t>
      </w:r>
      <w:r w:rsidR="00994974" w:rsidRPr="00850658">
        <w:t>father</w:t>
      </w:r>
      <w:r w:rsidRPr="00850658">
        <w:t xml:space="preserve">. In this respect, it is obvious that, in any situation, the pain of </w:t>
      </w:r>
      <w:r w:rsidR="000D2756" w:rsidRPr="00850658">
        <w:t xml:space="preserve">a </w:t>
      </w:r>
      <w:r w:rsidR="00253F95" w:rsidRPr="00850658">
        <w:t>son</w:t>
      </w:r>
      <w:r w:rsidRPr="00850658">
        <w:t xml:space="preserve"> who has to live in uncertainty about the fate of h</w:t>
      </w:r>
      <w:r w:rsidR="00BE43D0" w:rsidRPr="00850658">
        <w:t>is</w:t>
      </w:r>
      <w:r w:rsidR="000D2756" w:rsidRPr="00850658">
        <w:t xml:space="preserve"> </w:t>
      </w:r>
      <w:r w:rsidR="00994974" w:rsidRPr="00850658">
        <w:t xml:space="preserve">father </w:t>
      </w:r>
      <w:r w:rsidRPr="00850658">
        <w:t>must be unbearable.</w:t>
      </w:r>
    </w:p>
    <w:p w14:paraId="28208A20" w14:textId="77777777" w:rsidR="00711F6E" w:rsidRPr="00850658" w:rsidRDefault="00711F6E" w:rsidP="00711F6E">
      <w:pPr>
        <w:pStyle w:val="Default"/>
        <w:tabs>
          <w:tab w:val="left" w:pos="360"/>
          <w:tab w:val="left" w:pos="709"/>
        </w:tabs>
        <w:jc w:val="both"/>
        <w:rPr>
          <w:color w:val="auto"/>
          <w:lang w:val="en-GB"/>
        </w:rPr>
      </w:pPr>
    </w:p>
    <w:p w14:paraId="035FB749" w14:textId="77777777" w:rsidR="00711F6E" w:rsidRPr="00850658" w:rsidRDefault="00711F6E" w:rsidP="00B43D05">
      <w:pPr>
        <w:pStyle w:val="ListParagraph"/>
        <w:numPr>
          <w:ilvl w:val="0"/>
          <w:numId w:val="2"/>
        </w:numPr>
        <w:tabs>
          <w:tab w:val="clear" w:pos="360"/>
          <w:tab w:val="num" w:pos="450"/>
        </w:tabs>
        <w:autoSpaceDE w:val="0"/>
        <w:ind w:left="450" w:hanging="450"/>
        <w:jc w:val="both"/>
      </w:pPr>
      <w:r w:rsidRPr="00850658">
        <w:t>For the aforementioned reasons, the Panel concludes that, by its behaviour, UNMIK contributed to the complainant’s distress and mental suffering in violation of Article 3 of the ECHR.</w:t>
      </w:r>
    </w:p>
    <w:p w14:paraId="0A070DD7" w14:textId="77777777" w:rsidR="00711F6E" w:rsidRPr="00850658" w:rsidRDefault="00711F6E" w:rsidP="00711F6E">
      <w:pPr>
        <w:pStyle w:val="ListParagraph"/>
      </w:pPr>
    </w:p>
    <w:p w14:paraId="4BAAABEC" w14:textId="77777777" w:rsidR="00711F6E" w:rsidRPr="00850658" w:rsidRDefault="00711F6E" w:rsidP="00711F6E">
      <w:pPr>
        <w:pStyle w:val="Default"/>
        <w:jc w:val="both"/>
        <w:rPr>
          <w:color w:val="auto"/>
          <w:lang w:val="en-GB"/>
        </w:rPr>
      </w:pPr>
    </w:p>
    <w:p w14:paraId="6D926D20" w14:textId="77777777" w:rsidR="00711F6E" w:rsidRPr="00850658" w:rsidRDefault="00711F6E" w:rsidP="00711F6E">
      <w:pPr>
        <w:numPr>
          <w:ilvl w:val="0"/>
          <w:numId w:val="1"/>
        </w:numPr>
        <w:suppressAutoHyphens/>
        <w:autoSpaceDE w:val="0"/>
        <w:ind w:left="360" w:hanging="360"/>
        <w:jc w:val="both"/>
        <w:rPr>
          <w:b/>
        </w:rPr>
      </w:pPr>
      <w:r w:rsidRPr="00850658">
        <w:rPr>
          <w:b/>
        </w:rPr>
        <w:t xml:space="preserve">CONCLUDING </w:t>
      </w:r>
      <w:r w:rsidRPr="00850658">
        <w:rPr>
          <w:b/>
          <w:bCs/>
        </w:rPr>
        <w:t>COMMENTS</w:t>
      </w:r>
      <w:r w:rsidRPr="00850658">
        <w:rPr>
          <w:b/>
        </w:rPr>
        <w:t xml:space="preserve"> AND RECOMMENDATIONS</w:t>
      </w:r>
    </w:p>
    <w:p w14:paraId="25715026" w14:textId="77777777" w:rsidR="00711F6E" w:rsidRPr="00850658" w:rsidRDefault="00711F6E" w:rsidP="00711F6E">
      <w:pPr>
        <w:pStyle w:val="ListParagraph"/>
      </w:pPr>
    </w:p>
    <w:p w14:paraId="071C8E76" w14:textId="77777777" w:rsidR="00711F6E" w:rsidRPr="00850658" w:rsidRDefault="00711F6E" w:rsidP="00B43D05">
      <w:pPr>
        <w:pStyle w:val="ListParagraph"/>
        <w:numPr>
          <w:ilvl w:val="0"/>
          <w:numId w:val="2"/>
        </w:numPr>
        <w:tabs>
          <w:tab w:val="clear" w:pos="360"/>
          <w:tab w:val="num" w:pos="450"/>
        </w:tabs>
        <w:autoSpaceDE w:val="0"/>
        <w:ind w:left="450" w:hanging="450"/>
        <w:jc w:val="both"/>
        <w:rPr>
          <w:b/>
          <w:bCs/>
        </w:rPr>
      </w:pPr>
      <w:r w:rsidRPr="00850658">
        <w:t>In light of the Panel’s findings in this case, the Panel is of the opinion that some form of reparation is necessary.</w:t>
      </w:r>
    </w:p>
    <w:p w14:paraId="6D91F15F" w14:textId="77777777" w:rsidR="00711F6E" w:rsidRPr="00850658" w:rsidRDefault="00711F6E" w:rsidP="00711F6E">
      <w:pPr>
        <w:pStyle w:val="ListParagraph"/>
        <w:tabs>
          <w:tab w:val="num" w:pos="450"/>
        </w:tabs>
        <w:ind w:left="450" w:hanging="450"/>
      </w:pPr>
    </w:p>
    <w:p w14:paraId="12E5C5AC" w14:textId="77777777" w:rsidR="00711F6E" w:rsidRPr="00850658" w:rsidRDefault="00711F6E" w:rsidP="00B43D05">
      <w:pPr>
        <w:pStyle w:val="ListParagraph"/>
        <w:numPr>
          <w:ilvl w:val="0"/>
          <w:numId w:val="2"/>
        </w:numPr>
        <w:tabs>
          <w:tab w:val="clear" w:pos="360"/>
          <w:tab w:val="num" w:pos="450"/>
        </w:tabs>
        <w:autoSpaceDE w:val="0"/>
        <w:ind w:left="450" w:hanging="450"/>
        <w:jc w:val="both"/>
        <w:rPr>
          <w:b/>
          <w:bCs/>
        </w:rPr>
      </w:pPr>
      <w:r w:rsidRPr="00850658">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w:t>
      </w:r>
      <w:r w:rsidR="00AD7F08" w:rsidRPr="00850658">
        <w:t xml:space="preserve">abduction and disappearance of Mr </w:t>
      </w:r>
      <w:r w:rsidR="00253F95" w:rsidRPr="00850658">
        <w:t>Jovan Jovanović</w:t>
      </w:r>
      <w:r w:rsidRPr="00850658">
        <w:t>, and that its failure to do so constitutes a further serious violat</w:t>
      </w:r>
      <w:r w:rsidR="000D2756" w:rsidRPr="00850658">
        <w:t>ion of</w:t>
      </w:r>
      <w:r w:rsidR="00917A8B" w:rsidRPr="00850658">
        <w:t xml:space="preserve"> the rights of the victim and his</w:t>
      </w:r>
      <w:r w:rsidRPr="00850658">
        <w:t xml:space="preserve"> next-of-kin, in particular the right to have the truth of the matter determined. </w:t>
      </w:r>
    </w:p>
    <w:p w14:paraId="13DD0A37" w14:textId="77777777" w:rsidR="00711F6E" w:rsidRPr="00850658" w:rsidRDefault="00711F6E" w:rsidP="00711F6E">
      <w:pPr>
        <w:pStyle w:val="ListParagraph"/>
        <w:tabs>
          <w:tab w:val="num" w:pos="450"/>
        </w:tabs>
        <w:ind w:left="450" w:hanging="450"/>
      </w:pPr>
    </w:p>
    <w:p w14:paraId="21DD9256" w14:textId="77777777" w:rsidR="00711F6E" w:rsidRPr="00850658" w:rsidRDefault="00711F6E" w:rsidP="00B43D05">
      <w:pPr>
        <w:pStyle w:val="ListParagraph"/>
        <w:numPr>
          <w:ilvl w:val="0"/>
          <w:numId w:val="2"/>
        </w:numPr>
        <w:tabs>
          <w:tab w:val="clear" w:pos="360"/>
          <w:tab w:val="num" w:pos="450"/>
        </w:tabs>
        <w:autoSpaceDE w:val="0"/>
        <w:ind w:left="450" w:hanging="450"/>
        <w:jc w:val="both"/>
        <w:rPr>
          <w:bCs/>
        </w:rPr>
      </w:pPr>
      <w:r w:rsidRPr="00850658">
        <w:rPr>
          <w:bCs/>
        </w:rPr>
        <w:t xml:space="preserve">The </w:t>
      </w:r>
      <w:r w:rsidRPr="00850658">
        <w:t>Panel</w:t>
      </w:r>
      <w:r w:rsidRPr="00850658">
        <w:rPr>
          <w:bCs/>
        </w:rPr>
        <w:t xml:space="preserve"> </w:t>
      </w:r>
      <w:r w:rsidRPr="00850658">
        <w:t>notes</w:t>
      </w:r>
      <w:r w:rsidRPr="00850658">
        <w:rPr>
          <w:bCs/>
        </w:rPr>
        <w:t xml:space="preserve"> the SRSG’s own concerns that the inadequate resources, especially at the outset of </w:t>
      </w:r>
      <w:r w:rsidRPr="00850658">
        <w:t>UNMIK’s</w:t>
      </w:r>
      <w:r w:rsidRPr="00850658">
        <w:rPr>
          <w:bCs/>
        </w:rPr>
        <w:t xml:space="preserve"> mission, made compliance with UNMIK’s human rights obligations difficult to achieve.</w:t>
      </w:r>
    </w:p>
    <w:p w14:paraId="4C43A31D" w14:textId="77777777" w:rsidR="00711F6E" w:rsidRPr="00850658" w:rsidRDefault="00711F6E" w:rsidP="00711F6E">
      <w:pPr>
        <w:pStyle w:val="ListParagraph"/>
        <w:tabs>
          <w:tab w:val="num" w:pos="450"/>
        </w:tabs>
        <w:ind w:left="450" w:hanging="450"/>
      </w:pPr>
    </w:p>
    <w:p w14:paraId="59D58060" w14:textId="77777777" w:rsidR="00711F6E" w:rsidRPr="00850658" w:rsidRDefault="00711F6E" w:rsidP="00B43D05">
      <w:pPr>
        <w:pStyle w:val="ListParagraph"/>
        <w:numPr>
          <w:ilvl w:val="0"/>
          <w:numId w:val="2"/>
        </w:numPr>
        <w:tabs>
          <w:tab w:val="clear" w:pos="360"/>
          <w:tab w:val="num" w:pos="450"/>
        </w:tabs>
        <w:autoSpaceDE w:val="0"/>
        <w:ind w:left="450" w:hanging="450"/>
        <w:jc w:val="both"/>
      </w:pPr>
      <w:r w:rsidRPr="00850658">
        <w:t xml:space="preserve">It </w:t>
      </w:r>
      <w:r w:rsidRPr="00850658">
        <w:rPr>
          <w:bCs/>
        </w:rPr>
        <w:t>would</w:t>
      </w:r>
      <w:r w:rsidRPr="00850658">
        <w:t xml:space="preserve"> normally be for UNMIK to take the appropriate measures in order to put an end to the violation noted and to redress as far as possible the effects thereof. However, as the Panel noted above (see § </w:t>
      </w:r>
      <w:r w:rsidR="000D2756" w:rsidRPr="00850658">
        <w:fldChar w:fldCharType="begin"/>
      </w:r>
      <w:r w:rsidR="000D2756" w:rsidRPr="00850658">
        <w:instrText xml:space="preserve"> REF _Ref346123927 \r \h  \* MERGEFORMAT </w:instrText>
      </w:r>
      <w:r w:rsidR="000D2756" w:rsidRPr="00850658">
        <w:fldChar w:fldCharType="separate"/>
      </w:r>
      <w:r w:rsidR="004504C3">
        <w:t>20</w:t>
      </w:r>
      <w:r w:rsidR="000D2756" w:rsidRPr="00850658">
        <w:fldChar w:fldCharType="end"/>
      </w:r>
      <w:r w:rsidRPr="00850658">
        <w:t xml:space="preserve"> 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850658">
        <w:rPr>
          <w:bCs/>
        </w:rPr>
        <w:t>human</w:t>
      </w:r>
      <w:r w:rsidRPr="00850658">
        <w:t xml:space="preserve"> rights law.  </w:t>
      </w:r>
    </w:p>
    <w:p w14:paraId="6EAAD1D7" w14:textId="77777777" w:rsidR="00711F6E" w:rsidRPr="00850658" w:rsidRDefault="00711F6E" w:rsidP="00711F6E">
      <w:pPr>
        <w:pStyle w:val="ListParagraph"/>
      </w:pPr>
    </w:p>
    <w:p w14:paraId="2A4125AF" w14:textId="77777777" w:rsidR="00711F6E" w:rsidRPr="00850658" w:rsidRDefault="00711F6E" w:rsidP="00B43D05">
      <w:pPr>
        <w:pStyle w:val="ListParagraph"/>
        <w:numPr>
          <w:ilvl w:val="0"/>
          <w:numId w:val="2"/>
        </w:numPr>
        <w:tabs>
          <w:tab w:val="clear" w:pos="360"/>
          <w:tab w:val="num" w:pos="450"/>
        </w:tabs>
        <w:autoSpaceDE w:val="0"/>
        <w:ind w:left="450" w:hanging="450"/>
        <w:jc w:val="both"/>
        <w:rPr>
          <w:b/>
          <w:bCs/>
        </w:rPr>
      </w:pPr>
      <w:r w:rsidRPr="00850658">
        <w:lastRenderedPageBreak/>
        <w:t xml:space="preserve">The Panel considers that this </w:t>
      </w:r>
      <w:r w:rsidRPr="00850658">
        <w:rPr>
          <w:bCs/>
        </w:rPr>
        <w:t>factual</w:t>
      </w:r>
      <w:r w:rsidRPr="00850658">
        <w:t xml:space="preserve"> situation does not relieve UNMIK from its obligation to redress as far as possible the effects of the violations for which it is responsible. </w:t>
      </w:r>
    </w:p>
    <w:p w14:paraId="204F78BA" w14:textId="77777777" w:rsidR="00711F6E" w:rsidRPr="00850658" w:rsidRDefault="00711F6E" w:rsidP="00711F6E">
      <w:pPr>
        <w:pStyle w:val="ListParagraph"/>
        <w:rPr>
          <w:b/>
          <w:bCs/>
        </w:rPr>
      </w:pPr>
    </w:p>
    <w:p w14:paraId="23D73C5B" w14:textId="77777777" w:rsidR="00711F6E" w:rsidRPr="00850658" w:rsidRDefault="00711F6E" w:rsidP="00711F6E">
      <w:pPr>
        <w:suppressAutoHyphens/>
        <w:autoSpaceDE w:val="0"/>
        <w:ind w:left="450"/>
        <w:jc w:val="both"/>
        <w:rPr>
          <w:b/>
          <w:bCs/>
        </w:rPr>
      </w:pPr>
      <w:r w:rsidRPr="00850658">
        <w:rPr>
          <w:b/>
          <w:bCs/>
        </w:rPr>
        <w:t>With respect to the complainant and the case the Panel considers appropriate that UNMIK:</w:t>
      </w:r>
    </w:p>
    <w:p w14:paraId="13333F29" w14:textId="77777777" w:rsidR="00711F6E" w:rsidRPr="00850658" w:rsidRDefault="00711F6E" w:rsidP="00711F6E">
      <w:pPr>
        <w:pStyle w:val="ListParagraph"/>
        <w:rPr>
          <w:b/>
          <w:bCs/>
        </w:rPr>
      </w:pPr>
    </w:p>
    <w:p w14:paraId="300AC20A" w14:textId="4426C6ED" w:rsidR="00711F6E" w:rsidRPr="008405C9" w:rsidRDefault="00711F6E" w:rsidP="008405C9">
      <w:pPr>
        <w:numPr>
          <w:ilvl w:val="0"/>
          <w:numId w:val="21"/>
        </w:numPr>
        <w:tabs>
          <w:tab w:val="left" w:pos="900"/>
        </w:tabs>
        <w:suppressAutoHyphens/>
        <w:autoSpaceDE w:val="0"/>
        <w:ind w:left="720" w:firstLine="0"/>
        <w:jc w:val="both"/>
        <w:rPr>
          <w:b/>
          <w:bCs/>
        </w:rPr>
      </w:pPr>
      <w:r w:rsidRPr="00850658">
        <w:t xml:space="preserve">In line with the case law of the European Court of Human Rights on situations of limited State jurisdiction (see ECtHR [GC], </w:t>
      </w:r>
      <w:r w:rsidRPr="008405C9">
        <w:rPr>
          <w:i/>
        </w:rPr>
        <w:t>Ilaşcu and Others v. Moldova and Russia</w:t>
      </w:r>
      <w:r w:rsidRPr="00850658">
        <w:t xml:space="preserve">, cited in § </w:t>
      </w:r>
      <w:r w:rsidRPr="00850658">
        <w:fldChar w:fldCharType="begin"/>
      </w:r>
      <w:r w:rsidRPr="00850658">
        <w:instrText xml:space="preserve"> REF _Ref401074681 \r \h  \* MERGEFORMAT </w:instrText>
      </w:r>
      <w:r w:rsidRPr="00850658">
        <w:fldChar w:fldCharType="separate"/>
      </w:r>
      <w:r w:rsidR="004504C3">
        <w:t>123</w:t>
      </w:r>
      <w:r w:rsidRPr="00850658">
        <w:fldChar w:fldCharType="end"/>
      </w:r>
      <w:r w:rsidRPr="00850658">
        <w:t xml:space="preserve"> above, at § 333; ECtHR, </w:t>
      </w:r>
      <w:r w:rsidRPr="008405C9">
        <w:rPr>
          <w:i/>
        </w:rPr>
        <w:t>Al-Saadoon and Mufdhi v. United Kingdom</w:t>
      </w:r>
      <w:r w:rsidRPr="00850658">
        <w:t xml:space="preserve">, no. 61498/08, judgment of 2 March 2010, § 171; ECtHR [GC]), </w:t>
      </w:r>
      <w:r w:rsidRPr="008405C9">
        <w:rPr>
          <w:i/>
        </w:rPr>
        <w:t>Catan and Others v. Moldova and Russia</w:t>
      </w:r>
      <w:r w:rsidRPr="00850658">
        <w:t xml:space="preserve">, nos. 43370/04, 8252/05 and 18454/06, judgment of 19 October 2012, § 109), must endeavour, with all the means available to it </w:t>
      </w:r>
      <w:r w:rsidRPr="008405C9">
        <w:rPr>
          <w:i/>
        </w:rPr>
        <w:t>vis-à-vis</w:t>
      </w:r>
      <w:r w:rsidRPr="00850658">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8405C9">
        <w:rPr>
          <w:bCs/>
        </w:rPr>
        <w:t xml:space="preserve">the </w:t>
      </w:r>
      <w:r w:rsidR="00AD7F08" w:rsidRPr="00850658">
        <w:t xml:space="preserve">abduction and disappearance of </w:t>
      </w:r>
      <w:r w:rsidR="00917A8B" w:rsidRPr="00850658">
        <w:t xml:space="preserve">Mr Jovan Jovanović </w:t>
      </w:r>
      <w:r w:rsidRPr="00850658">
        <w:t>will be established and that the possible perpetrators will be brought to justice. The complainant and/or other next-of-kin shall be informed of such proceedings and relevant documents shall be disclosed to them, as necessary;</w:t>
      </w:r>
    </w:p>
    <w:p w14:paraId="27C2D1AD" w14:textId="77777777" w:rsidR="00711F6E" w:rsidRPr="00850658" w:rsidRDefault="00711F6E" w:rsidP="00711F6E">
      <w:pPr>
        <w:suppressAutoHyphens/>
        <w:autoSpaceDE w:val="0"/>
        <w:ind w:left="426"/>
        <w:jc w:val="both"/>
        <w:rPr>
          <w:b/>
          <w:bCs/>
        </w:rPr>
      </w:pPr>
    </w:p>
    <w:p w14:paraId="77F29DBB" w14:textId="22DC38A4" w:rsidR="00711F6E" w:rsidRPr="00850658" w:rsidRDefault="00711F6E" w:rsidP="008405C9">
      <w:pPr>
        <w:numPr>
          <w:ilvl w:val="0"/>
          <w:numId w:val="21"/>
        </w:numPr>
        <w:tabs>
          <w:tab w:val="left" w:pos="900"/>
        </w:tabs>
        <w:suppressAutoHyphens/>
        <w:autoSpaceDE w:val="0"/>
        <w:ind w:left="720" w:firstLine="0"/>
        <w:jc w:val="both"/>
        <w:rPr>
          <w:bCs/>
        </w:rPr>
      </w:pPr>
      <w:r w:rsidRPr="00850658">
        <w:rPr>
          <w:bCs/>
        </w:rPr>
        <w:t xml:space="preserve">Publicly </w:t>
      </w:r>
      <w:r w:rsidRPr="00850658">
        <w:t>acknowledges</w:t>
      </w:r>
      <w:r w:rsidRPr="00850658">
        <w:rPr>
          <w:bCs/>
        </w:rPr>
        <w:t>, including through media</w:t>
      </w:r>
      <w:r w:rsidRPr="00850658">
        <w:t xml:space="preserve"> within</w:t>
      </w:r>
      <w:r w:rsidRPr="00850658">
        <w:rPr>
          <w:bCs/>
        </w:rPr>
        <w:t xml:space="preserve"> a reasonable time, responsibility with respect to UNMIK’s </w:t>
      </w:r>
      <w:r w:rsidRPr="00850658">
        <w:t>failure</w:t>
      </w:r>
      <w:r w:rsidRPr="00850658">
        <w:rPr>
          <w:bCs/>
        </w:rPr>
        <w:t xml:space="preserve"> to adequately investigate the </w:t>
      </w:r>
      <w:r w:rsidR="00AD7F08" w:rsidRPr="00850658">
        <w:t xml:space="preserve">abduction and disappearance of Mr </w:t>
      </w:r>
      <w:r w:rsidR="00917A8B" w:rsidRPr="00850658">
        <w:t>Jovan Jovanović</w:t>
      </w:r>
      <w:r w:rsidRPr="00850658">
        <w:t xml:space="preserve">, </w:t>
      </w:r>
      <w:r w:rsidRPr="00850658">
        <w:rPr>
          <w:bCs/>
        </w:rPr>
        <w:t xml:space="preserve">as </w:t>
      </w:r>
      <w:r w:rsidRPr="00850658">
        <w:t>well</w:t>
      </w:r>
      <w:r w:rsidRPr="00850658">
        <w:rPr>
          <w:bCs/>
        </w:rPr>
        <w:t xml:space="preserve"> as the distress and mental suffering subsequently incurred, and makes a public ap</w:t>
      </w:r>
      <w:r w:rsidR="00917A8B" w:rsidRPr="00850658">
        <w:rPr>
          <w:bCs/>
        </w:rPr>
        <w:t>ology to the complainant and his</w:t>
      </w:r>
      <w:r w:rsidRPr="00850658">
        <w:rPr>
          <w:bCs/>
        </w:rPr>
        <w:t xml:space="preserve"> family in this regard;</w:t>
      </w:r>
    </w:p>
    <w:p w14:paraId="3199FE81" w14:textId="77777777" w:rsidR="00711F6E" w:rsidRPr="00850658" w:rsidRDefault="00711F6E" w:rsidP="00711F6E">
      <w:pPr>
        <w:tabs>
          <w:tab w:val="left" w:pos="900"/>
        </w:tabs>
        <w:suppressAutoHyphens/>
        <w:autoSpaceDE w:val="0"/>
        <w:ind w:left="720"/>
        <w:jc w:val="both"/>
      </w:pPr>
    </w:p>
    <w:p w14:paraId="7BC5602B" w14:textId="1FCD7B56" w:rsidR="00711F6E" w:rsidRPr="00850658" w:rsidRDefault="00711F6E" w:rsidP="008405C9">
      <w:pPr>
        <w:numPr>
          <w:ilvl w:val="0"/>
          <w:numId w:val="21"/>
        </w:numPr>
        <w:tabs>
          <w:tab w:val="left" w:pos="900"/>
        </w:tabs>
        <w:suppressAutoHyphens/>
        <w:autoSpaceDE w:val="0"/>
        <w:ind w:left="720" w:firstLine="0"/>
        <w:jc w:val="both"/>
      </w:pPr>
      <w:r w:rsidRPr="00850658">
        <w:t xml:space="preserve">Takes </w:t>
      </w:r>
      <w:r w:rsidRPr="008405C9">
        <w:rPr>
          <w:bCs/>
        </w:rPr>
        <w:t>appropriate</w:t>
      </w:r>
      <w:r w:rsidRPr="00850658">
        <w:t xml:space="preserve"> steps towards payment of adequate compensation to the complainant for the moral damage suffered due to UNMIK’s failure to conduct an effective investigation as well as for distress and </w:t>
      </w:r>
      <w:r w:rsidRPr="00850658">
        <w:rPr>
          <w:bCs/>
        </w:rPr>
        <w:t xml:space="preserve">mental suffering </w:t>
      </w:r>
      <w:r w:rsidR="00917A8B" w:rsidRPr="00850658">
        <w:t>incurred by him</w:t>
      </w:r>
      <w:r w:rsidRPr="00850658">
        <w:t xml:space="preserve"> as a consequence of UNMIK’s behaviour.</w:t>
      </w:r>
    </w:p>
    <w:p w14:paraId="5E07527F" w14:textId="77777777" w:rsidR="00711F6E" w:rsidRPr="00850658" w:rsidRDefault="00711F6E" w:rsidP="00711F6E">
      <w:pPr>
        <w:suppressAutoHyphens/>
        <w:autoSpaceDE w:val="0"/>
        <w:ind w:left="360"/>
        <w:jc w:val="both"/>
        <w:rPr>
          <w:b/>
          <w:bCs/>
        </w:rPr>
      </w:pPr>
    </w:p>
    <w:p w14:paraId="59F4BC29" w14:textId="77777777" w:rsidR="00711F6E" w:rsidRPr="00850658" w:rsidRDefault="00711F6E" w:rsidP="00711F6E">
      <w:pPr>
        <w:suppressAutoHyphens/>
        <w:autoSpaceDE w:val="0"/>
        <w:ind w:left="450"/>
        <w:jc w:val="both"/>
        <w:rPr>
          <w:b/>
          <w:bCs/>
        </w:rPr>
      </w:pPr>
      <w:r w:rsidRPr="00850658">
        <w:rPr>
          <w:b/>
          <w:bCs/>
        </w:rPr>
        <w:t>The Panel also considers appropriate that UNMIK:</w:t>
      </w:r>
    </w:p>
    <w:p w14:paraId="1CE34B8F" w14:textId="77777777" w:rsidR="00711F6E" w:rsidRPr="00850658" w:rsidRDefault="00711F6E" w:rsidP="00711F6E"/>
    <w:p w14:paraId="56D67E8C" w14:textId="5A63B15F" w:rsidR="00711F6E" w:rsidRPr="00850658" w:rsidRDefault="00711F6E" w:rsidP="008405C9">
      <w:pPr>
        <w:numPr>
          <w:ilvl w:val="0"/>
          <w:numId w:val="21"/>
        </w:numPr>
        <w:tabs>
          <w:tab w:val="left" w:pos="900"/>
        </w:tabs>
        <w:suppressAutoHyphens/>
        <w:autoSpaceDE w:val="0"/>
        <w:ind w:left="720" w:firstLine="0"/>
        <w:jc w:val="both"/>
      </w:pPr>
      <w:r w:rsidRPr="00850658">
        <w:rPr>
          <w:bCs/>
        </w:rPr>
        <w:t xml:space="preserve">In line </w:t>
      </w:r>
      <w:r w:rsidRPr="00850658">
        <w:t>with</w:t>
      </w:r>
      <w:r w:rsidRPr="00850658">
        <w:rPr>
          <w:bCs/>
        </w:rPr>
        <w:t xml:space="preserve"> the UN </w:t>
      </w:r>
      <w:r w:rsidRPr="00850658">
        <w:t>General</w:t>
      </w:r>
      <w:r w:rsidRPr="00850658">
        <w:rPr>
          <w:bCs/>
        </w:rPr>
        <w:t xml:space="preserve"> Assembly Resolution on “Basic Principles and </w:t>
      </w:r>
      <w:r w:rsidRPr="00850658">
        <w:t>Guidelines</w:t>
      </w:r>
      <w:r w:rsidRPr="00850658">
        <w:rPr>
          <w:bCs/>
        </w:rPr>
        <w:t xml:space="preserve"> on the Right to a Remedy and Reparation for Victims of Gross Violations of International Human Rights Law and Serious Violations of International Humanitarian Law” (A/Res/60/147, 21 March 2006), takes </w:t>
      </w:r>
      <w:r w:rsidRPr="00850658">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14:paraId="7DC19347" w14:textId="77777777" w:rsidR="00711F6E" w:rsidRPr="00850658" w:rsidRDefault="00711F6E" w:rsidP="00711F6E">
      <w:pPr>
        <w:tabs>
          <w:tab w:val="left" w:pos="900"/>
        </w:tabs>
        <w:suppressAutoHyphens/>
        <w:autoSpaceDE w:val="0"/>
        <w:ind w:left="720"/>
        <w:jc w:val="both"/>
      </w:pPr>
    </w:p>
    <w:p w14:paraId="063C0382" w14:textId="1ED329D1" w:rsidR="00711F6E" w:rsidRPr="00850658" w:rsidRDefault="00711F6E" w:rsidP="008405C9">
      <w:pPr>
        <w:numPr>
          <w:ilvl w:val="0"/>
          <w:numId w:val="21"/>
        </w:numPr>
        <w:tabs>
          <w:tab w:val="left" w:pos="900"/>
        </w:tabs>
        <w:suppressAutoHyphens/>
        <w:autoSpaceDE w:val="0"/>
        <w:ind w:left="720" w:firstLine="0"/>
        <w:jc w:val="both"/>
      </w:pPr>
      <w:r w:rsidRPr="00850658">
        <w:t xml:space="preserve">Takes appropriate steps before competent bodies of the United Nations, including the UN Secretary-General, towards the allocation of adequate human and financial resources to ensure that international human rights standards are upheld at all times by the United </w:t>
      </w:r>
      <w:r w:rsidRPr="00850658">
        <w:lastRenderedPageBreak/>
        <w:t>Nations, including when performing administrative and executive functions over a territory, and to make provision for effective and independent monitoring;</w:t>
      </w:r>
    </w:p>
    <w:p w14:paraId="475F3751" w14:textId="77777777" w:rsidR="00711F6E" w:rsidRPr="00850658" w:rsidRDefault="00711F6E" w:rsidP="00711F6E"/>
    <w:p w14:paraId="2AD9F4E5" w14:textId="77777777" w:rsidR="00711F6E" w:rsidRPr="00850658" w:rsidRDefault="00711F6E" w:rsidP="00711F6E"/>
    <w:p w14:paraId="0694C033" w14:textId="77777777" w:rsidR="00711F6E" w:rsidRPr="00850658" w:rsidRDefault="00711F6E" w:rsidP="00711F6E"/>
    <w:p w14:paraId="139E1130" w14:textId="77777777" w:rsidR="00711F6E" w:rsidRPr="00850658" w:rsidRDefault="00711F6E" w:rsidP="00711F6E">
      <w:pPr>
        <w:pStyle w:val="Normal1"/>
        <w:spacing w:before="0" w:beforeAutospacing="0" w:after="0" w:afterAutospacing="0"/>
        <w:jc w:val="both"/>
        <w:rPr>
          <w:b/>
        </w:rPr>
      </w:pPr>
      <w:r w:rsidRPr="00850658">
        <w:rPr>
          <w:b/>
        </w:rPr>
        <w:t>FOR THESE REASONS,</w:t>
      </w:r>
    </w:p>
    <w:p w14:paraId="32061BCE" w14:textId="77777777" w:rsidR="00711F6E" w:rsidRPr="00850658" w:rsidRDefault="00711F6E" w:rsidP="00711F6E">
      <w:pPr>
        <w:pStyle w:val="Normal1"/>
        <w:spacing w:before="0" w:beforeAutospacing="0" w:after="0" w:afterAutospacing="0"/>
        <w:jc w:val="both"/>
        <w:rPr>
          <w:b/>
        </w:rPr>
      </w:pPr>
    </w:p>
    <w:p w14:paraId="2F657E9C" w14:textId="77777777" w:rsidR="00711F6E" w:rsidRPr="00850658" w:rsidRDefault="00711F6E" w:rsidP="00711F6E">
      <w:pPr>
        <w:autoSpaceDE w:val="0"/>
        <w:autoSpaceDN w:val="0"/>
        <w:adjustRightInd w:val="0"/>
        <w:jc w:val="both"/>
      </w:pPr>
      <w:r w:rsidRPr="00850658">
        <w:t>The Panel, unanimously,</w:t>
      </w:r>
    </w:p>
    <w:p w14:paraId="63B6F92B" w14:textId="77777777" w:rsidR="00711F6E" w:rsidRPr="00850658" w:rsidRDefault="00711F6E" w:rsidP="00711F6E">
      <w:pPr>
        <w:autoSpaceDE w:val="0"/>
        <w:autoSpaceDN w:val="0"/>
        <w:adjustRightInd w:val="0"/>
        <w:jc w:val="both"/>
      </w:pPr>
    </w:p>
    <w:p w14:paraId="7D81BFEF" w14:textId="77777777" w:rsidR="00711F6E" w:rsidRPr="00850658" w:rsidRDefault="00711F6E" w:rsidP="00711F6E">
      <w:pPr>
        <w:autoSpaceDE w:val="0"/>
        <w:autoSpaceDN w:val="0"/>
        <w:adjustRightInd w:val="0"/>
        <w:jc w:val="both"/>
      </w:pPr>
    </w:p>
    <w:p w14:paraId="75AD2171" w14:textId="77777777" w:rsidR="00711F6E" w:rsidRPr="00850658" w:rsidRDefault="00711F6E" w:rsidP="00711F6E">
      <w:pPr>
        <w:pStyle w:val="JuList"/>
        <w:numPr>
          <w:ilvl w:val="0"/>
          <w:numId w:val="5"/>
        </w:numPr>
        <w:tabs>
          <w:tab w:val="clear" w:pos="567"/>
          <w:tab w:val="num" w:pos="-142"/>
        </w:tabs>
        <w:ind w:left="284" w:hanging="284"/>
        <w:rPr>
          <w:b/>
        </w:rPr>
      </w:pPr>
      <w:r w:rsidRPr="00850658">
        <w:rPr>
          <w:b/>
        </w:rPr>
        <w:t>FINDS THAT THERE HAS BEEN A VIOLATION OF THE PROCEDURAL OBLIGATION UNDER ARTICLE 2 OF THE EUROPEAN CONVENTION ON HUMAN RIGHTS;</w:t>
      </w:r>
    </w:p>
    <w:p w14:paraId="0DE8E25E" w14:textId="77777777" w:rsidR="00711F6E" w:rsidRPr="00850658" w:rsidRDefault="00711F6E" w:rsidP="00711F6E">
      <w:pPr>
        <w:pStyle w:val="JuList"/>
        <w:ind w:left="0" w:firstLine="0"/>
        <w:rPr>
          <w:b/>
        </w:rPr>
      </w:pPr>
    </w:p>
    <w:p w14:paraId="3A40DC6F" w14:textId="77777777" w:rsidR="00711F6E" w:rsidRPr="00850658" w:rsidRDefault="00711F6E" w:rsidP="00711F6E">
      <w:pPr>
        <w:pStyle w:val="JuList"/>
        <w:numPr>
          <w:ilvl w:val="0"/>
          <w:numId w:val="5"/>
        </w:numPr>
        <w:tabs>
          <w:tab w:val="clear" w:pos="567"/>
          <w:tab w:val="num" w:pos="-142"/>
        </w:tabs>
        <w:ind w:left="284" w:hanging="284"/>
        <w:rPr>
          <w:b/>
        </w:rPr>
      </w:pPr>
      <w:r w:rsidRPr="00850658">
        <w:rPr>
          <w:b/>
        </w:rPr>
        <w:t xml:space="preserve">FINDS THAT THERE HAS BEEN A VIOLATION OF THE SUBSTANTIVE OBLIGATION UNDER ARTICLE 3 OF THE EUROPEAN CONVENTION ON HUMAN RIGHTS, IN RELATION TO THE </w:t>
      </w:r>
      <w:r w:rsidR="000D2756" w:rsidRPr="00850658">
        <w:rPr>
          <w:b/>
        </w:rPr>
        <w:t>ABDUCTION AND</w:t>
      </w:r>
      <w:r w:rsidR="00FC30AF" w:rsidRPr="00850658">
        <w:rPr>
          <w:b/>
        </w:rPr>
        <w:t xml:space="preserve"> </w:t>
      </w:r>
      <w:r w:rsidR="00AD7F08" w:rsidRPr="00850658">
        <w:rPr>
          <w:b/>
        </w:rPr>
        <w:t>DISAPPEARANCE</w:t>
      </w:r>
      <w:r w:rsidRPr="00850658">
        <w:rPr>
          <w:b/>
        </w:rPr>
        <w:t xml:space="preserve"> OF MR </w:t>
      </w:r>
      <w:r w:rsidR="00917A8B" w:rsidRPr="00850658">
        <w:rPr>
          <w:b/>
        </w:rPr>
        <w:t>JOVAN JOVANOVIĆ</w:t>
      </w:r>
      <w:r w:rsidRPr="00850658">
        <w:rPr>
          <w:b/>
        </w:rPr>
        <w:t>;</w:t>
      </w:r>
    </w:p>
    <w:p w14:paraId="65554F36" w14:textId="77777777" w:rsidR="00711F6E" w:rsidRPr="00850658" w:rsidRDefault="00711F6E" w:rsidP="00711F6E">
      <w:pPr>
        <w:pStyle w:val="JuList"/>
        <w:ind w:left="0" w:firstLine="0"/>
        <w:rPr>
          <w:b/>
        </w:rPr>
      </w:pPr>
    </w:p>
    <w:p w14:paraId="14CCB000" w14:textId="77777777" w:rsidR="00711F6E" w:rsidRPr="00850658" w:rsidRDefault="00711F6E" w:rsidP="00711F6E">
      <w:pPr>
        <w:pStyle w:val="JuList"/>
        <w:numPr>
          <w:ilvl w:val="0"/>
          <w:numId w:val="5"/>
        </w:numPr>
        <w:tabs>
          <w:tab w:val="clear" w:pos="567"/>
          <w:tab w:val="num" w:pos="-142"/>
        </w:tabs>
        <w:ind w:left="284" w:hanging="284"/>
        <w:rPr>
          <w:b/>
        </w:rPr>
      </w:pPr>
      <w:r w:rsidRPr="00850658">
        <w:rPr>
          <w:b/>
        </w:rPr>
        <w:t>RECOMMENDS</w:t>
      </w:r>
      <w:r w:rsidRPr="00850658">
        <w:rPr>
          <w:b/>
          <w:bCs/>
          <w:lang w:eastAsia="en-US"/>
        </w:rPr>
        <w:t xml:space="preserve"> THAT UNMIK:</w:t>
      </w:r>
    </w:p>
    <w:p w14:paraId="0B889A43" w14:textId="77777777" w:rsidR="00711F6E" w:rsidRPr="00850658" w:rsidRDefault="00711F6E" w:rsidP="00711F6E">
      <w:pPr>
        <w:pStyle w:val="JuList"/>
        <w:ind w:left="0" w:firstLine="0"/>
        <w:rPr>
          <w:b/>
          <w:bCs/>
          <w:lang w:eastAsia="en-US"/>
        </w:rPr>
      </w:pPr>
    </w:p>
    <w:p w14:paraId="1292C0E7" w14:textId="77777777" w:rsidR="00711F6E" w:rsidRPr="00850658" w:rsidRDefault="00711F6E" w:rsidP="00711F6E">
      <w:pPr>
        <w:pStyle w:val="JuList"/>
        <w:numPr>
          <w:ilvl w:val="0"/>
          <w:numId w:val="18"/>
        </w:numPr>
        <w:tabs>
          <w:tab w:val="num" w:pos="720"/>
        </w:tabs>
        <w:rPr>
          <w:b/>
          <w:bCs/>
          <w:lang w:eastAsia="en-US"/>
        </w:rPr>
      </w:pPr>
      <w:r w:rsidRPr="00850658">
        <w:rPr>
          <w:b/>
          <w:bCs/>
          <w:lang w:eastAsia="en-US"/>
        </w:rPr>
        <w:t xml:space="preserve">URGES THE COMPETENT AUTHORITIES IN KOSOVO TO TAKE ALL POSSIBLE STEPS IN ORDER TO ENSURE THAT THE CRIMINAL INVESTIGATION INTO </w:t>
      </w:r>
      <w:r w:rsidRPr="00850658">
        <w:rPr>
          <w:b/>
          <w:bCs/>
        </w:rPr>
        <w:t xml:space="preserve">THE </w:t>
      </w:r>
      <w:r w:rsidR="00AD7F08" w:rsidRPr="00850658">
        <w:rPr>
          <w:b/>
        </w:rPr>
        <w:t xml:space="preserve">ABDUCTION AND DISAPPEARANCE OF </w:t>
      </w:r>
      <w:r w:rsidR="00917A8B" w:rsidRPr="00850658">
        <w:rPr>
          <w:b/>
        </w:rPr>
        <w:t xml:space="preserve">MR JOVAN JOVANOVIĆ </w:t>
      </w:r>
      <w:r w:rsidRPr="00850658">
        <w:rPr>
          <w:b/>
        </w:rPr>
        <w:t>IS</w:t>
      </w:r>
      <w:r w:rsidRPr="00850658">
        <w:rPr>
          <w:b/>
          <w:bCs/>
          <w:lang w:eastAsia="en-US"/>
        </w:rPr>
        <w:t xml:space="preserve"> CONTINUED IN COMPLIANCE WITH ARTICLE 2 OF THE ECHR AND THAT THE PERPETRATORS ARE BROUGHT TO JUSTICE;</w:t>
      </w:r>
    </w:p>
    <w:p w14:paraId="22FF191D" w14:textId="77777777" w:rsidR="00711F6E" w:rsidRPr="00850658" w:rsidRDefault="00711F6E" w:rsidP="00711F6E">
      <w:pPr>
        <w:pStyle w:val="JuList"/>
        <w:ind w:left="426" w:hanging="283"/>
        <w:rPr>
          <w:b/>
          <w:bCs/>
          <w:lang w:eastAsia="en-US"/>
        </w:rPr>
      </w:pPr>
    </w:p>
    <w:p w14:paraId="2F73340B" w14:textId="309B7FFA" w:rsidR="00711F6E" w:rsidRPr="00850658" w:rsidRDefault="00711F6E" w:rsidP="00711F6E">
      <w:pPr>
        <w:pStyle w:val="JuList"/>
        <w:numPr>
          <w:ilvl w:val="0"/>
          <w:numId w:val="18"/>
        </w:numPr>
        <w:tabs>
          <w:tab w:val="num" w:pos="720"/>
        </w:tabs>
        <w:rPr>
          <w:b/>
          <w:bCs/>
          <w:lang w:eastAsia="en-US"/>
        </w:rPr>
      </w:pPr>
      <w:r w:rsidRPr="00850658">
        <w:rPr>
          <w:b/>
          <w:bCs/>
          <w:lang w:eastAsia="en-US"/>
        </w:rPr>
        <w:t>PUBLICLY ACKNOWLEDGES</w:t>
      </w:r>
      <w:r w:rsidR="00FC30AF" w:rsidRPr="00850658">
        <w:rPr>
          <w:b/>
          <w:bCs/>
          <w:lang w:eastAsia="en-US"/>
        </w:rPr>
        <w:t>,</w:t>
      </w:r>
      <w:r w:rsidRPr="00850658">
        <w:rPr>
          <w:b/>
          <w:bCs/>
          <w:lang w:eastAsia="en-US"/>
        </w:rPr>
        <w:t xml:space="preserve"> INCLUDING THROUGH MEDIA</w:t>
      </w:r>
      <w:r w:rsidR="00FC30AF" w:rsidRPr="00850658">
        <w:rPr>
          <w:b/>
          <w:bCs/>
          <w:lang w:eastAsia="en-US"/>
        </w:rPr>
        <w:t>,</w:t>
      </w:r>
      <w:r w:rsidRPr="00850658">
        <w:rPr>
          <w:b/>
          <w:bCs/>
          <w:lang w:eastAsia="en-US"/>
        </w:rPr>
        <w:t xml:space="preserve"> RESPONSIBILITY FOR ITS FAILURE TO CONDUCT AN EFFECTIVE INVESTIGATION INTO </w:t>
      </w:r>
      <w:r w:rsidRPr="00850658">
        <w:rPr>
          <w:b/>
          <w:bCs/>
        </w:rPr>
        <w:t xml:space="preserve">THE </w:t>
      </w:r>
      <w:r w:rsidR="00AD7F08" w:rsidRPr="00850658">
        <w:rPr>
          <w:b/>
        </w:rPr>
        <w:t xml:space="preserve">ABDUCTION AND DISAPPEARANCE OF </w:t>
      </w:r>
      <w:r w:rsidR="00917A8B" w:rsidRPr="00850658">
        <w:rPr>
          <w:b/>
        </w:rPr>
        <w:t>MR JOVAN JOVANOVIĆ</w:t>
      </w:r>
      <w:r w:rsidRPr="00850658">
        <w:rPr>
          <w:b/>
          <w:bCs/>
          <w:lang w:eastAsia="en-US"/>
        </w:rPr>
        <w:t>, AS WELL AS FOR DISTRESS AND MENTAL SUFFERING INCURRED, AND MAKES A PUBLIC APOLOGY TO THE COMPLAINANT AND H</w:t>
      </w:r>
      <w:r w:rsidR="00BE43D0" w:rsidRPr="00850658">
        <w:rPr>
          <w:b/>
          <w:bCs/>
          <w:lang w:eastAsia="en-US"/>
        </w:rPr>
        <w:t>IS</w:t>
      </w:r>
      <w:r w:rsidRPr="00850658">
        <w:rPr>
          <w:b/>
          <w:bCs/>
          <w:lang w:eastAsia="en-US"/>
        </w:rPr>
        <w:t xml:space="preserve"> FAMILY;</w:t>
      </w:r>
    </w:p>
    <w:p w14:paraId="71A060E9" w14:textId="77777777" w:rsidR="00711F6E" w:rsidRPr="00850658" w:rsidRDefault="00711F6E" w:rsidP="00711F6E">
      <w:pPr>
        <w:pStyle w:val="JuList"/>
        <w:ind w:left="426" w:hanging="283"/>
        <w:rPr>
          <w:b/>
          <w:bCs/>
          <w:lang w:eastAsia="en-US"/>
        </w:rPr>
      </w:pPr>
    </w:p>
    <w:p w14:paraId="30B2BF76" w14:textId="77777777" w:rsidR="00711F6E" w:rsidRPr="00850658" w:rsidRDefault="00711F6E" w:rsidP="00711F6E">
      <w:pPr>
        <w:pStyle w:val="JuList"/>
        <w:numPr>
          <w:ilvl w:val="0"/>
          <w:numId w:val="18"/>
        </w:numPr>
        <w:tabs>
          <w:tab w:val="num" w:pos="720"/>
        </w:tabs>
        <w:rPr>
          <w:b/>
          <w:bCs/>
          <w:lang w:eastAsia="en-US"/>
        </w:rPr>
      </w:pPr>
      <w:r w:rsidRPr="00850658">
        <w:rPr>
          <w:b/>
          <w:bCs/>
          <w:lang w:eastAsia="en-US"/>
        </w:rPr>
        <w:t>TAKES APPROPRIATE STEPS TOWARDS PAYMENT OF ADEQUATE COMPENSATION TO THE COMPLAINANT FOR MORAL DAMAGE IN RELATION TO THE FINDING OF VIOLATIONS OF ARTICLE 2 AND ARTICLE 3 OF THE ECHR.</w:t>
      </w:r>
    </w:p>
    <w:p w14:paraId="5467CC3C" w14:textId="77777777" w:rsidR="00711F6E" w:rsidRPr="00850658" w:rsidRDefault="00711F6E" w:rsidP="00711F6E">
      <w:pPr>
        <w:pStyle w:val="JuList"/>
        <w:ind w:left="426" w:hanging="283"/>
        <w:rPr>
          <w:b/>
          <w:bCs/>
          <w:lang w:eastAsia="en-US"/>
        </w:rPr>
      </w:pPr>
    </w:p>
    <w:p w14:paraId="2D1306BE" w14:textId="77777777" w:rsidR="00711F6E" w:rsidRPr="00850658" w:rsidRDefault="00711F6E" w:rsidP="00711F6E">
      <w:pPr>
        <w:pStyle w:val="JuList"/>
        <w:numPr>
          <w:ilvl w:val="0"/>
          <w:numId w:val="18"/>
        </w:numPr>
        <w:tabs>
          <w:tab w:val="num" w:pos="720"/>
        </w:tabs>
        <w:rPr>
          <w:b/>
          <w:bCs/>
          <w:lang w:eastAsia="en-US"/>
        </w:rPr>
      </w:pPr>
      <w:r w:rsidRPr="00850658">
        <w:rPr>
          <w:b/>
          <w:bCs/>
          <w:lang w:eastAsia="en-US"/>
        </w:rPr>
        <w:t>TAKES APPROPRIATE STEPS TOWARDS THE REALISATION OF A FULL AND COMPREHENSIVE REPARATION PROGRAMME;</w:t>
      </w:r>
    </w:p>
    <w:p w14:paraId="4DF684E8" w14:textId="77777777" w:rsidR="00711F6E" w:rsidRPr="00850658" w:rsidRDefault="00711F6E" w:rsidP="00711F6E">
      <w:pPr>
        <w:pStyle w:val="JuList"/>
        <w:ind w:left="426" w:hanging="283"/>
        <w:rPr>
          <w:b/>
          <w:bCs/>
          <w:lang w:eastAsia="en-US"/>
        </w:rPr>
      </w:pPr>
    </w:p>
    <w:p w14:paraId="0555A8FA" w14:textId="77777777" w:rsidR="00711F6E" w:rsidRPr="00850658" w:rsidRDefault="00711F6E" w:rsidP="00711F6E">
      <w:pPr>
        <w:pStyle w:val="JuList"/>
        <w:numPr>
          <w:ilvl w:val="0"/>
          <w:numId w:val="18"/>
        </w:numPr>
        <w:tabs>
          <w:tab w:val="num" w:pos="720"/>
        </w:tabs>
        <w:rPr>
          <w:b/>
          <w:bCs/>
          <w:lang w:eastAsia="en-US"/>
        </w:rPr>
      </w:pPr>
      <w:r w:rsidRPr="00850658">
        <w:rPr>
          <w:b/>
          <w:bCs/>
          <w:lang w:eastAsia="en-US"/>
        </w:rPr>
        <w:t>TAKES APPROPRIATE STEPS AT THE UNITED NATIONS AS A GUARANTEE OF NON REPETITION;</w:t>
      </w:r>
    </w:p>
    <w:p w14:paraId="4240397D" w14:textId="77777777" w:rsidR="00711F6E" w:rsidRPr="00850658" w:rsidRDefault="00711F6E" w:rsidP="00711F6E">
      <w:pPr>
        <w:pStyle w:val="JuList"/>
        <w:ind w:left="426" w:hanging="283"/>
        <w:rPr>
          <w:b/>
          <w:bCs/>
          <w:lang w:eastAsia="en-US"/>
        </w:rPr>
      </w:pPr>
    </w:p>
    <w:p w14:paraId="34EA52DE" w14:textId="77777777" w:rsidR="00711F6E" w:rsidRPr="00850658" w:rsidRDefault="00711F6E" w:rsidP="00711F6E">
      <w:pPr>
        <w:pStyle w:val="JuList"/>
        <w:numPr>
          <w:ilvl w:val="0"/>
          <w:numId w:val="18"/>
        </w:numPr>
        <w:tabs>
          <w:tab w:val="num" w:pos="720"/>
        </w:tabs>
        <w:rPr>
          <w:b/>
          <w:bCs/>
          <w:lang w:eastAsia="en-US"/>
        </w:rPr>
      </w:pPr>
      <w:r w:rsidRPr="00850658">
        <w:rPr>
          <w:b/>
          <w:bCs/>
          <w:lang w:eastAsia="en-US"/>
        </w:rPr>
        <w:lastRenderedPageBreak/>
        <w:t>TAKES IMMEDIATE AND EFFECTIVE MEASURES TO IMPLEMENT THE RECOMMENDATIONS OF THE PANEL AND TO INFORM THE COMPLAINANT AND THE PANEL ABOUT FURTHER DEVELOPMENTS IN THIS CASE.</w:t>
      </w:r>
    </w:p>
    <w:p w14:paraId="1C79DC0D" w14:textId="77777777" w:rsidR="00711F6E" w:rsidRPr="00850658" w:rsidRDefault="00711F6E" w:rsidP="00711F6E">
      <w:pPr>
        <w:autoSpaceDE w:val="0"/>
        <w:autoSpaceDN w:val="0"/>
        <w:adjustRightInd w:val="0"/>
        <w:jc w:val="both"/>
        <w:rPr>
          <w:b/>
          <w:bCs/>
        </w:rPr>
      </w:pPr>
    </w:p>
    <w:p w14:paraId="09FBAA8E" w14:textId="77777777" w:rsidR="00711F6E" w:rsidRPr="00850658" w:rsidRDefault="00711F6E" w:rsidP="00711F6E">
      <w:pPr>
        <w:autoSpaceDE w:val="0"/>
        <w:autoSpaceDN w:val="0"/>
        <w:adjustRightInd w:val="0"/>
        <w:jc w:val="both"/>
        <w:rPr>
          <w:b/>
          <w:bCs/>
        </w:rPr>
      </w:pPr>
    </w:p>
    <w:p w14:paraId="16CAB62C" w14:textId="77777777" w:rsidR="00711F6E" w:rsidRPr="00850658" w:rsidRDefault="00711F6E" w:rsidP="00711F6E">
      <w:pPr>
        <w:autoSpaceDE w:val="0"/>
        <w:autoSpaceDN w:val="0"/>
        <w:adjustRightInd w:val="0"/>
        <w:jc w:val="both"/>
      </w:pPr>
    </w:p>
    <w:p w14:paraId="79BB6C61" w14:textId="77777777" w:rsidR="00711F6E" w:rsidRPr="00850658" w:rsidRDefault="00711F6E" w:rsidP="00711F6E">
      <w:pPr>
        <w:autoSpaceDE w:val="0"/>
        <w:autoSpaceDN w:val="0"/>
        <w:adjustRightInd w:val="0"/>
        <w:jc w:val="both"/>
      </w:pPr>
    </w:p>
    <w:p w14:paraId="2639C07F" w14:textId="77777777" w:rsidR="00711F6E" w:rsidRPr="00850658" w:rsidRDefault="00711F6E" w:rsidP="00711F6E">
      <w:pPr>
        <w:autoSpaceDE w:val="0"/>
        <w:autoSpaceDN w:val="0"/>
        <w:adjustRightInd w:val="0"/>
        <w:jc w:val="both"/>
      </w:pPr>
    </w:p>
    <w:p w14:paraId="109A9A56" w14:textId="77777777" w:rsidR="00711F6E" w:rsidRPr="00850658" w:rsidRDefault="00711F6E" w:rsidP="00711F6E">
      <w:pPr>
        <w:autoSpaceDE w:val="0"/>
        <w:autoSpaceDN w:val="0"/>
        <w:adjustRightInd w:val="0"/>
        <w:jc w:val="both"/>
      </w:pPr>
    </w:p>
    <w:p w14:paraId="161F92B0" w14:textId="77777777" w:rsidR="00711F6E" w:rsidRPr="00850658" w:rsidRDefault="00711F6E" w:rsidP="00711F6E">
      <w:pPr>
        <w:autoSpaceDE w:val="0"/>
        <w:autoSpaceDN w:val="0"/>
        <w:adjustRightInd w:val="0"/>
        <w:jc w:val="both"/>
      </w:pPr>
      <w:r w:rsidRPr="00850658">
        <w:t xml:space="preserve"> Andrey Antonov</w:t>
      </w:r>
      <w:r w:rsidRPr="00850658">
        <w:tab/>
      </w:r>
      <w:r w:rsidRPr="00850658">
        <w:tab/>
      </w:r>
      <w:r w:rsidRPr="00850658">
        <w:tab/>
      </w:r>
      <w:r w:rsidRPr="00850658">
        <w:tab/>
      </w:r>
      <w:r w:rsidRPr="00850658">
        <w:tab/>
      </w:r>
      <w:r w:rsidRPr="00850658">
        <w:tab/>
      </w:r>
      <w:r w:rsidRPr="00850658">
        <w:tab/>
        <w:t>Marek Nowicki</w:t>
      </w:r>
    </w:p>
    <w:p w14:paraId="544B1B50" w14:textId="77777777" w:rsidR="00711F6E" w:rsidRPr="00850658" w:rsidRDefault="00711F6E" w:rsidP="00711F6E">
      <w:pPr>
        <w:autoSpaceDE w:val="0"/>
        <w:autoSpaceDN w:val="0"/>
        <w:adjustRightInd w:val="0"/>
        <w:jc w:val="both"/>
      </w:pPr>
      <w:r w:rsidRPr="00850658">
        <w:t xml:space="preserve"> Executive Officer </w:t>
      </w:r>
      <w:r w:rsidRPr="00850658">
        <w:tab/>
      </w:r>
      <w:r w:rsidRPr="00850658">
        <w:tab/>
      </w:r>
      <w:r w:rsidRPr="00850658">
        <w:tab/>
      </w:r>
      <w:r w:rsidRPr="00850658">
        <w:tab/>
      </w:r>
      <w:r w:rsidRPr="00850658">
        <w:tab/>
      </w:r>
      <w:r w:rsidRPr="00850658">
        <w:tab/>
      </w:r>
      <w:r w:rsidRPr="00850658">
        <w:tab/>
        <w:t>Presiding Member</w:t>
      </w:r>
    </w:p>
    <w:p w14:paraId="6063C0CD" w14:textId="77777777" w:rsidR="00711F6E" w:rsidRPr="00850658" w:rsidRDefault="00711F6E" w:rsidP="00711F6E">
      <w:pPr>
        <w:rPr>
          <w:i/>
        </w:rPr>
      </w:pPr>
      <w:r w:rsidRPr="00850658">
        <w:rPr>
          <w:i/>
        </w:rPr>
        <w:br w:type="page"/>
      </w:r>
    </w:p>
    <w:p w14:paraId="6DE85229" w14:textId="77777777" w:rsidR="00711F6E" w:rsidRPr="00850658" w:rsidRDefault="00711F6E" w:rsidP="00711F6E">
      <w:pPr>
        <w:jc w:val="right"/>
        <w:rPr>
          <w:b/>
        </w:rPr>
      </w:pPr>
      <w:r w:rsidRPr="00850658">
        <w:rPr>
          <w:i/>
        </w:rPr>
        <w:lastRenderedPageBreak/>
        <w:t>Annex</w:t>
      </w:r>
    </w:p>
    <w:p w14:paraId="04A4D8FF" w14:textId="77777777" w:rsidR="00711F6E" w:rsidRPr="00850658" w:rsidRDefault="00711F6E" w:rsidP="00711F6E">
      <w:pPr>
        <w:rPr>
          <w:b/>
        </w:rPr>
      </w:pPr>
    </w:p>
    <w:p w14:paraId="432569E8" w14:textId="77777777" w:rsidR="00711F6E" w:rsidRPr="00850658" w:rsidRDefault="00711F6E" w:rsidP="00711F6E">
      <w:pPr>
        <w:jc w:val="center"/>
      </w:pPr>
      <w:r w:rsidRPr="00850658">
        <w:rPr>
          <w:b/>
        </w:rPr>
        <w:t>ABBREVIATIONS AND ACRONYMS</w:t>
      </w:r>
    </w:p>
    <w:p w14:paraId="0D5CB6C3" w14:textId="77777777" w:rsidR="00711F6E" w:rsidRPr="00850658" w:rsidRDefault="00711F6E" w:rsidP="00711F6E">
      <w:pPr>
        <w:autoSpaceDE w:val="0"/>
        <w:jc w:val="both"/>
      </w:pPr>
    </w:p>
    <w:p w14:paraId="38DC0346" w14:textId="7C1B985B" w:rsidR="00711F6E" w:rsidRPr="00850658" w:rsidRDefault="00711F6E" w:rsidP="00711F6E">
      <w:pPr>
        <w:autoSpaceDE w:val="0"/>
        <w:jc w:val="both"/>
      </w:pPr>
      <w:r w:rsidRPr="00850658">
        <w:rPr>
          <w:b/>
        </w:rPr>
        <w:t xml:space="preserve">CCPR - </w:t>
      </w:r>
      <w:r w:rsidRPr="00850658">
        <w:t>International Covenant on Civil and Political Rights</w:t>
      </w:r>
    </w:p>
    <w:p w14:paraId="6B766340" w14:textId="2148ACD8" w:rsidR="00711F6E" w:rsidRPr="00850658" w:rsidRDefault="00711F6E" w:rsidP="00711F6E">
      <w:pPr>
        <w:autoSpaceDE w:val="0"/>
        <w:jc w:val="both"/>
      </w:pPr>
      <w:r w:rsidRPr="00850658">
        <w:rPr>
          <w:b/>
        </w:rPr>
        <w:t xml:space="preserve">DOJ </w:t>
      </w:r>
      <w:r w:rsidRPr="00850658">
        <w:t xml:space="preserve">- </w:t>
      </w:r>
      <w:r w:rsidR="00FD6AB3" w:rsidRPr="00850658">
        <w:tab/>
      </w:r>
      <w:r w:rsidRPr="00850658">
        <w:t>Department of Justice</w:t>
      </w:r>
    </w:p>
    <w:p w14:paraId="37CA91C0" w14:textId="20095683" w:rsidR="00711F6E" w:rsidRPr="00850658" w:rsidRDefault="00711F6E" w:rsidP="00711F6E">
      <w:pPr>
        <w:autoSpaceDE w:val="0"/>
        <w:jc w:val="both"/>
      </w:pPr>
      <w:r w:rsidRPr="00850658">
        <w:rPr>
          <w:b/>
        </w:rPr>
        <w:t>DPPO</w:t>
      </w:r>
      <w:r w:rsidRPr="00850658">
        <w:t xml:space="preserve"> - District Public Prosecutor’s Office</w:t>
      </w:r>
    </w:p>
    <w:p w14:paraId="71464432" w14:textId="79C54587" w:rsidR="00711F6E" w:rsidRPr="00850658" w:rsidRDefault="00711F6E" w:rsidP="00711F6E">
      <w:pPr>
        <w:autoSpaceDE w:val="0"/>
        <w:jc w:val="both"/>
      </w:pPr>
      <w:r w:rsidRPr="00850658">
        <w:rPr>
          <w:b/>
        </w:rPr>
        <w:t>ECHR</w:t>
      </w:r>
      <w:r w:rsidRPr="00850658">
        <w:t xml:space="preserve"> - European Convention on Human Rights</w:t>
      </w:r>
    </w:p>
    <w:p w14:paraId="2FB31D03" w14:textId="2F55630A" w:rsidR="00711F6E" w:rsidRPr="00850658" w:rsidRDefault="00711F6E" w:rsidP="00711F6E">
      <w:pPr>
        <w:autoSpaceDE w:val="0"/>
        <w:jc w:val="both"/>
      </w:pPr>
      <w:r w:rsidRPr="00850658">
        <w:rPr>
          <w:b/>
        </w:rPr>
        <w:t>ECtHR</w:t>
      </w:r>
      <w:r w:rsidRPr="00850658">
        <w:t xml:space="preserve">- European Court of Human Rights </w:t>
      </w:r>
    </w:p>
    <w:p w14:paraId="056CD6D5" w14:textId="119F8246" w:rsidR="00711F6E" w:rsidRPr="00850658" w:rsidRDefault="00711F6E" w:rsidP="00711F6E">
      <w:pPr>
        <w:autoSpaceDE w:val="0"/>
        <w:jc w:val="both"/>
      </w:pPr>
      <w:r w:rsidRPr="00850658">
        <w:rPr>
          <w:b/>
        </w:rPr>
        <w:t>EU</w:t>
      </w:r>
      <w:r w:rsidR="00FD6AB3" w:rsidRPr="00850658">
        <w:t xml:space="preserve"> -</w:t>
      </w:r>
      <w:r w:rsidRPr="00850658">
        <w:t xml:space="preserve"> European Union</w:t>
      </w:r>
    </w:p>
    <w:p w14:paraId="3B7A5B95" w14:textId="77777777" w:rsidR="00711F6E" w:rsidRPr="00850658" w:rsidRDefault="00711F6E" w:rsidP="00711F6E">
      <w:pPr>
        <w:autoSpaceDE w:val="0"/>
        <w:jc w:val="both"/>
      </w:pPr>
      <w:r w:rsidRPr="00850658">
        <w:rPr>
          <w:b/>
        </w:rPr>
        <w:t>EULEX</w:t>
      </w:r>
      <w:r w:rsidRPr="00850658">
        <w:t xml:space="preserve"> - European Union Rule of Law Mission in Kosovo</w:t>
      </w:r>
    </w:p>
    <w:p w14:paraId="6018316D" w14:textId="77777777" w:rsidR="00711F6E" w:rsidRPr="00850658" w:rsidRDefault="00711F6E" w:rsidP="00711F6E">
      <w:pPr>
        <w:autoSpaceDE w:val="0"/>
        <w:jc w:val="both"/>
      </w:pPr>
      <w:r w:rsidRPr="00850658">
        <w:rPr>
          <w:b/>
        </w:rPr>
        <w:t xml:space="preserve">FRY </w:t>
      </w:r>
      <w:r w:rsidRPr="00850658">
        <w:t xml:space="preserve">- Federal Republic of Yugoslavia </w:t>
      </w:r>
    </w:p>
    <w:p w14:paraId="1B2D1BAF" w14:textId="77777777" w:rsidR="00711F6E" w:rsidRPr="00850658" w:rsidRDefault="00711F6E" w:rsidP="00711F6E">
      <w:pPr>
        <w:autoSpaceDE w:val="0"/>
        <w:jc w:val="both"/>
      </w:pPr>
      <w:r w:rsidRPr="00850658">
        <w:rPr>
          <w:b/>
        </w:rPr>
        <w:t xml:space="preserve">HRAP </w:t>
      </w:r>
      <w:r w:rsidRPr="00850658">
        <w:t>- Human Rights Advisory Panel</w:t>
      </w:r>
    </w:p>
    <w:p w14:paraId="2C8BD06F" w14:textId="77777777" w:rsidR="00711F6E" w:rsidRPr="00850658" w:rsidRDefault="00711F6E" w:rsidP="00711F6E">
      <w:pPr>
        <w:autoSpaceDE w:val="0"/>
        <w:jc w:val="both"/>
      </w:pPr>
      <w:r w:rsidRPr="00850658">
        <w:rPr>
          <w:b/>
        </w:rPr>
        <w:t>HRC</w:t>
      </w:r>
      <w:r w:rsidRPr="00850658">
        <w:t xml:space="preserve"> - United Nation Human Rights Committee</w:t>
      </w:r>
    </w:p>
    <w:p w14:paraId="0AC7ED39" w14:textId="77777777" w:rsidR="00711F6E" w:rsidRPr="00850658" w:rsidRDefault="00711F6E" w:rsidP="00711F6E">
      <w:pPr>
        <w:autoSpaceDE w:val="0"/>
        <w:jc w:val="both"/>
      </w:pPr>
      <w:r w:rsidRPr="00850658">
        <w:rPr>
          <w:b/>
        </w:rPr>
        <w:t>IACtHR</w:t>
      </w:r>
      <w:r w:rsidRPr="00850658">
        <w:t>– Inter-American Court of Human Rights</w:t>
      </w:r>
    </w:p>
    <w:p w14:paraId="32E44E58" w14:textId="77777777" w:rsidR="00711F6E" w:rsidRPr="00850658" w:rsidRDefault="00711F6E" w:rsidP="00711F6E">
      <w:pPr>
        <w:autoSpaceDE w:val="0"/>
        <w:jc w:val="both"/>
      </w:pPr>
      <w:r w:rsidRPr="00850658">
        <w:rPr>
          <w:b/>
        </w:rPr>
        <w:t>ICMP</w:t>
      </w:r>
      <w:r w:rsidRPr="00850658">
        <w:t xml:space="preserve"> - International Commission of Missing Persons</w:t>
      </w:r>
    </w:p>
    <w:p w14:paraId="7B9E4701" w14:textId="77777777" w:rsidR="00711F6E" w:rsidRPr="00850658" w:rsidRDefault="00711F6E" w:rsidP="00711F6E">
      <w:pPr>
        <w:autoSpaceDE w:val="0"/>
        <w:jc w:val="both"/>
      </w:pPr>
      <w:r w:rsidRPr="00850658">
        <w:rPr>
          <w:b/>
        </w:rPr>
        <w:t>ICRC</w:t>
      </w:r>
      <w:r w:rsidRPr="00850658">
        <w:t xml:space="preserve"> - International Committee of the Red Cross</w:t>
      </w:r>
    </w:p>
    <w:p w14:paraId="0216E4AF" w14:textId="77777777" w:rsidR="00711F6E" w:rsidRPr="00850658" w:rsidRDefault="00711F6E" w:rsidP="00711F6E">
      <w:pPr>
        <w:autoSpaceDE w:val="0"/>
        <w:jc w:val="both"/>
      </w:pPr>
      <w:r w:rsidRPr="00850658">
        <w:rPr>
          <w:b/>
        </w:rPr>
        <w:t xml:space="preserve">ICTY </w:t>
      </w:r>
      <w:r w:rsidRPr="00850658">
        <w:t>- International Criminal Tribunal for former Yugoslavia</w:t>
      </w:r>
    </w:p>
    <w:p w14:paraId="434FAFAB" w14:textId="77777777" w:rsidR="00711F6E" w:rsidRPr="00850658" w:rsidRDefault="00711F6E" w:rsidP="00711F6E">
      <w:pPr>
        <w:autoSpaceDE w:val="0"/>
        <w:jc w:val="both"/>
      </w:pPr>
      <w:r w:rsidRPr="00850658">
        <w:rPr>
          <w:b/>
        </w:rPr>
        <w:t>IP</w:t>
      </w:r>
      <w:r w:rsidRPr="00850658">
        <w:t xml:space="preserve"> - International Prosecutor</w:t>
      </w:r>
    </w:p>
    <w:p w14:paraId="6312FF66" w14:textId="77777777" w:rsidR="00711F6E" w:rsidRPr="00850658" w:rsidRDefault="00711F6E" w:rsidP="00711F6E">
      <w:pPr>
        <w:autoSpaceDE w:val="0"/>
        <w:jc w:val="both"/>
      </w:pPr>
      <w:r w:rsidRPr="00850658">
        <w:rPr>
          <w:b/>
        </w:rPr>
        <w:t>KFOR</w:t>
      </w:r>
      <w:r w:rsidRPr="00850658">
        <w:t xml:space="preserve"> - International Security Force (commonly known as Kosovo Force)</w:t>
      </w:r>
    </w:p>
    <w:p w14:paraId="6ADCD973" w14:textId="77777777" w:rsidR="00711F6E" w:rsidRPr="00850658" w:rsidRDefault="00711F6E" w:rsidP="00711F6E">
      <w:pPr>
        <w:autoSpaceDE w:val="0"/>
        <w:jc w:val="both"/>
      </w:pPr>
      <w:r w:rsidRPr="00850658">
        <w:rPr>
          <w:b/>
        </w:rPr>
        <w:t>KLA</w:t>
      </w:r>
      <w:r w:rsidRPr="00850658">
        <w:t xml:space="preserve"> - Kosovo Liberation Army</w:t>
      </w:r>
    </w:p>
    <w:p w14:paraId="6C8A3947" w14:textId="7EB45FE6" w:rsidR="00FD6AB3" w:rsidRPr="00850658" w:rsidRDefault="00FD6AB3" w:rsidP="00711F6E">
      <w:pPr>
        <w:autoSpaceDE w:val="0"/>
        <w:jc w:val="both"/>
      </w:pPr>
      <w:r w:rsidRPr="00850658">
        <w:rPr>
          <w:b/>
        </w:rPr>
        <w:t>MP</w:t>
      </w:r>
      <w:r w:rsidRPr="00850658">
        <w:t xml:space="preserve"> - Missing Person</w:t>
      </w:r>
    </w:p>
    <w:p w14:paraId="358EF21C" w14:textId="77777777" w:rsidR="00711F6E" w:rsidRPr="00850658" w:rsidRDefault="00711F6E" w:rsidP="00711F6E">
      <w:pPr>
        <w:autoSpaceDE w:val="0"/>
        <w:jc w:val="both"/>
      </w:pPr>
      <w:r w:rsidRPr="00850658">
        <w:rPr>
          <w:b/>
        </w:rPr>
        <w:t xml:space="preserve">MPU </w:t>
      </w:r>
      <w:r w:rsidRPr="00850658">
        <w:t>- Missing Persons Unit</w:t>
      </w:r>
    </w:p>
    <w:p w14:paraId="47EAF436" w14:textId="77777777" w:rsidR="00711F6E" w:rsidRPr="00850658" w:rsidRDefault="00711F6E" w:rsidP="00711F6E">
      <w:pPr>
        <w:autoSpaceDE w:val="0"/>
        <w:jc w:val="both"/>
      </w:pPr>
      <w:r w:rsidRPr="00850658">
        <w:rPr>
          <w:b/>
        </w:rPr>
        <w:t>NATO</w:t>
      </w:r>
      <w:r w:rsidRPr="00850658">
        <w:t xml:space="preserve"> - North Atlantic Treaty Organization </w:t>
      </w:r>
    </w:p>
    <w:p w14:paraId="1BA7A5DE" w14:textId="77777777" w:rsidR="00711F6E" w:rsidRPr="00850658" w:rsidRDefault="00711F6E" w:rsidP="00711F6E">
      <w:pPr>
        <w:autoSpaceDE w:val="0"/>
        <w:jc w:val="both"/>
      </w:pPr>
      <w:r w:rsidRPr="00850658">
        <w:rPr>
          <w:b/>
        </w:rPr>
        <w:t>OMPF</w:t>
      </w:r>
      <w:r w:rsidRPr="00850658">
        <w:t xml:space="preserve"> - Office on Missing Persons and Forensics</w:t>
      </w:r>
    </w:p>
    <w:p w14:paraId="0992FEDB" w14:textId="77777777" w:rsidR="00711F6E" w:rsidRPr="00850658" w:rsidRDefault="00711F6E" w:rsidP="00711F6E">
      <w:pPr>
        <w:autoSpaceDE w:val="0"/>
        <w:jc w:val="both"/>
      </w:pPr>
      <w:r w:rsidRPr="00850658">
        <w:rPr>
          <w:b/>
        </w:rPr>
        <w:t>OSCE</w:t>
      </w:r>
      <w:r w:rsidRPr="00850658">
        <w:t xml:space="preserve"> - Organization for Security and Cooperation in Europe</w:t>
      </w:r>
    </w:p>
    <w:p w14:paraId="6747DCCA" w14:textId="77777777" w:rsidR="00711F6E" w:rsidRPr="00850658" w:rsidRDefault="00711F6E" w:rsidP="00711F6E">
      <w:pPr>
        <w:autoSpaceDE w:val="0"/>
        <w:jc w:val="both"/>
      </w:pPr>
      <w:r w:rsidRPr="00850658">
        <w:rPr>
          <w:b/>
        </w:rPr>
        <w:t>RIU</w:t>
      </w:r>
      <w:r w:rsidRPr="00850658">
        <w:t xml:space="preserve"> - Regional Investigation Unit</w:t>
      </w:r>
    </w:p>
    <w:p w14:paraId="2DFFA407" w14:textId="77777777" w:rsidR="00711F6E" w:rsidRPr="00850658" w:rsidRDefault="00711F6E" w:rsidP="00711F6E">
      <w:pPr>
        <w:autoSpaceDE w:val="0"/>
        <w:jc w:val="both"/>
      </w:pPr>
      <w:r w:rsidRPr="00850658">
        <w:rPr>
          <w:b/>
        </w:rPr>
        <w:t>SRSG</w:t>
      </w:r>
      <w:r w:rsidRPr="00850658">
        <w:t xml:space="preserve"> - Special Representative of the Secretary-General </w:t>
      </w:r>
    </w:p>
    <w:p w14:paraId="43447AD5" w14:textId="77777777" w:rsidR="00711F6E" w:rsidRPr="00850658" w:rsidRDefault="00711F6E" w:rsidP="00711F6E">
      <w:pPr>
        <w:autoSpaceDE w:val="0"/>
        <w:jc w:val="both"/>
      </w:pPr>
      <w:r w:rsidRPr="00850658">
        <w:rPr>
          <w:b/>
        </w:rPr>
        <w:t>UN</w:t>
      </w:r>
      <w:r w:rsidRPr="00850658">
        <w:t xml:space="preserve"> - United Nations</w:t>
      </w:r>
    </w:p>
    <w:p w14:paraId="35291280" w14:textId="77777777" w:rsidR="00711F6E" w:rsidRPr="00850658" w:rsidRDefault="00711F6E" w:rsidP="00711F6E">
      <w:pPr>
        <w:autoSpaceDE w:val="0"/>
        <w:jc w:val="both"/>
      </w:pPr>
      <w:r w:rsidRPr="00850658">
        <w:rPr>
          <w:b/>
        </w:rPr>
        <w:t xml:space="preserve">UNHCR </w:t>
      </w:r>
      <w:r w:rsidRPr="00850658">
        <w:t>- United Nations High Commissioner for Refugees</w:t>
      </w:r>
    </w:p>
    <w:p w14:paraId="03B7792B" w14:textId="77777777" w:rsidR="00711F6E" w:rsidRPr="00850658" w:rsidRDefault="00711F6E" w:rsidP="00711F6E">
      <w:pPr>
        <w:autoSpaceDE w:val="0"/>
        <w:jc w:val="both"/>
      </w:pPr>
      <w:r w:rsidRPr="00850658">
        <w:rPr>
          <w:b/>
        </w:rPr>
        <w:t>UNMIK</w:t>
      </w:r>
      <w:r w:rsidRPr="00850658">
        <w:t xml:space="preserve"> - United Nations Interim Administration Mission in Kosovo </w:t>
      </w:r>
    </w:p>
    <w:p w14:paraId="30B010BB" w14:textId="77777777" w:rsidR="00711F6E" w:rsidRPr="00850658" w:rsidRDefault="00711F6E" w:rsidP="00711F6E">
      <w:pPr>
        <w:autoSpaceDE w:val="0"/>
        <w:jc w:val="both"/>
      </w:pPr>
      <w:r w:rsidRPr="00850658">
        <w:rPr>
          <w:b/>
        </w:rPr>
        <w:t>VRIC</w:t>
      </w:r>
      <w:r w:rsidRPr="00850658">
        <w:t xml:space="preserve"> - Victim Recovery and Identification Commission</w:t>
      </w:r>
    </w:p>
    <w:p w14:paraId="6D7EB2EB" w14:textId="77777777" w:rsidR="00711F6E" w:rsidRPr="00850658" w:rsidRDefault="00711F6E" w:rsidP="00711F6E">
      <w:pPr>
        <w:autoSpaceDE w:val="0"/>
        <w:jc w:val="both"/>
      </w:pPr>
      <w:r w:rsidRPr="00850658">
        <w:rPr>
          <w:b/>
        </w:rPr>
        <w:t xml:space="preserve">WCIU </w:t>
      </w:r>
      <w:r w:rsidRPr="00850658">
        <w:t>- War Crimes Investigation Unit</w:t>
      </w:r>
    </w:p>
    <w:p w14:paraId="30A2CB2C" w14:textId="77777777" w:rsidR="00546DB5" w:rsidRPr="00850658" w:rsidRDefault="00546DB5" w:rsidP="00711F6E">
      <w:pPr>
        <w:pStyle w:val="ListParagraph"/>
        <w:ind w:left="0"/>
      </w:pPr>
    </w:p>
    <w:sectPr w:rsidR="00546DB5" w:rsidRPr="00850658" w:rsidSect="00CA379B">
      <w:head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29954" w14:textId="77777777" w:rsidR="00970D3A" w:rsidRDefault="00970D3A">
      <w:r>
        <w:separator/>
      </w:r>
    </w:p>
  </w:endnote>
  <w:endnote w:type="continuationSeparator" w:id="0">
    <w:p w14:paraId="1A15EB8E" w14:textId="77777777" w:rsidR="00970D3A" w:rsidRDefault="0097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50123" w14:textId="77777777" w:rsidR="00970D3A" w:rsidRDefault="00970D3A">
      <w:r>
        <w:separator/>
      </w:r>
    </w:p>
  </w:footnote>
  <w:footnote w:type="continuationSeparator" w:id="0">
    <w:p w14:paraId="7543AAB2" w14:textId="77777777" w:rsidR="00970D3A" w:rsidRDefault="00970D3A">
      <w:r>
        <w:continuationSeparator/>
      </w:r>
    </w:p>
  </w:footnote>
  <w:footnote w:id="1">
    <w:p w14:paraId="3890039B" w14:textId="77777777" w:rsidR="001E45A8" w:rsidRPr="00BD5A31" w:rsidRDefault="001E45A8" w:rsidP="00022E69">
      <w:pPr>
        <w:pStyle w:val="FootnoteText"/>
        <w:rPr>
          <w:sz w:val="20"/>
          <w:lang w:val="en-US"/>
        </w:rPr>
      </w:pPr>
      <w:r w:rsidRPr="00BD5A31">
        <w:rPr>
          <w:rStyle w:val="FootnoteReference"/>
          <w:sz w:val="20"/>
        </w:rPr>
        <w:footnoteRef/>
      </w:r>
      <w:r w:rsidRPr="00BD5A31">
        <w:rPr>
          <w:rFonts w:ascii="Times New Roman" w:hAnsi="Times New Roman"/>
          <w:sz w:val="20"/>
        </w:rPr>
        <w:t xml:space="preserve"> A list of abbreviations and acronyms contained in the text can be found in the attached Annex.</w:t>
      </w:r>
    </w:p>
  </w:footnote>
  <w:footnote w:id="2">
    <w:p w14:paraId="07E7192B" w14:textId="77777777" w:rsidR="001E45A8" w:rsidRPr="00BD5A31" w:rsidRDefault="001E45A8" w:rsidP="00680EF0">
      <w:pPr>
        <w:pStyle w:val="FootnoteText"/>
        <w:jc w:val="both"/>
        <w:rPr>
          <w:rFonts w:ascii="Times New Roman" w:hAnsi="Times New Roman"/>
          <w:sz w:val="20"/>
        </w:rPr>
      </w:pPr>
      <w:r w:rsidRPr="00BD5A31">
        <w:rPr>
          <w:rStyle w:val="FootnoteReference"/>
          <w:rFonts w:ascii="Times New Roman" w:hAnsi="Times New Roman"/>
          <w:sz w:val="20"/>
        </w:rPr>
        <w:footnoteRef/>
      </w:r>
      <w:r w:rsidRPr="00BD5A31">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BD5A31">
        <w:rPr>
          <w:rFonts w:ascii="Times New Roman" w:hAnsi="Times New Roman"/>
          <w:i/>
          <w:sz w:val="20"/>
        </w:rPr>
        <w:t xml:space="preserve"> Behrami and Behrami v. France</w:t>
      </w:r>
      <w:r w:rsidRPr="00BD5A31">
        <w:rPr>
          <w:rFonts w:ascii="Times New Roman" w:hAnsi="Times New Roman"/>
          <w:sz w:val="20"/>
        </w:rPr>
        <w:t xml:space="preserve"> and </w:t>
      </w:r>
      <w:r w:rsidRPr="00BD5A31">
        <w:rPr>
          <w:rFonts w:ascii="Times New Roman" w:hAnsi="Times New Roman"/>
          <w:i/>
          <w:sz w:val="20"/>
        </w:rPr>
        <w:t>Saramati v. France, Germany and Norway</w:t>
      </w:r>
      <w:r w:rsidRPr="00BD5A31">
        <w:rPr>
          <w:rFonts w:ascii="Times New Roman" w:hAnsi="Times New Roman"/>
          <w:sz w:val="20"/>
        </w:rPr>
        <w:t xml:space="preserve">, nos. </w:t>
      </w:r>
      <w:r w:rsidRPr="00BD5A31">
        <w:rPr>
          <w:rStyle w:val="sb8d990e2"/>
          <w:rFonts w:ascii="Times New Roman" w:hAnsi="Times New Roman"/>
          <w:sz w:val="20"/>
        </w:rPr>
        <w:t>71412/01 and</w:t>
      </w:r>
      <w:r w:rsidRPr="00BD5A31">
        <w:rPr>
          <w:rFonts w:ascii="Times New Roman" w:hAnsi="Times New Roman"/>
          <w:sz w:val="20"/>
        </w:rPr>
        <w:t xml:space="preserve"> </w:t>
      </w:r>
      <w:r w:rsidRPr="00BD5A31">
        <w:rPr>
          <w:rStyle w:val="sb8d990e2"/>
          <w:rFonts w:ascii="Times New Roman" w:hAnsi="Times New Roman"/>
          <w:sz w:val="20"/>
        </w:rPr>
        <w:t xml:space="preserve">78166/01, </w:t>
      </w:r>
      <w:r w:rsidRPr="00BD5A31">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BD5A31">
          <w:rPr>
            <w:rStyle w:val="Hyperlink"/>
            <w:rFonts w:ascii="Times New Roman" w:hAnsi="Times New Roman"/>
            <w:color w:val="auto"/>
            <w:sz w:val="20"/>
          </w:rPr>
          <w:t>www.unhchr.org</w:t>
        </w:r>
      </w:hyperlink>
      <w:r w:rsidRPr="00BD5A31">
        <w:rPr>
          <w:rFonts w:ascii="Times New Roman" w:hAnsi="Times New Roman"/>
          <w:sz w:val="20"/>
        </w:rPr>
        <w:t xml:space="preserve">) and by the International Committee of the Red Cross (available at </w:t>
      </w:r>
      <w:hyperlink r:id="rId2" w:history="1">
        <w:r w:rsidRPr="00BD5A31">
          <w:rPr>
            <w:rStyle w:val="Hyperlink"/>
            <w:rFonts w:ascii="Times New Roman" w:hAnsi="Times New Roman"/>
            <w:color w:val="auto"/>
            <w:sz w:val="20"/>
          </w:rPr>
          <w:t>http://familylinks.icrc.org/kosovo/en</w:t>
        </w:r>
      </w:hyperlink>
      <w:r w:rsidRPr="00BD5A31">
        <w:rPr>
          <w:rFonts w:ascii="Times New Roman" w:hAnsi="Times New Roman"/>
          <w:sz w:val="20"/>
        </w:rPr>
        <w:t>).</w:t>
      </w:r>
    </w:p>
  </w:footnote>
  <w:footnote w:id="3">
    <w:p w14:paraId="47BD4184" w14:textId="77777777" w:rsidR="001E45A8" w:rsidRPr="00AB364B" w:rsidRDefault="001E45A8" w:rsidP="00BD5A31">
      <w:pPr>
        <w:pStyle w:val="FootnoteText"/>
        <w:jc w:val="both"/>
        <w:rPr>
          <w:rFonts w:ascii="Times New Roman" w:hAnsi="Times New Roman"/>
          <w:sz w:val="20"/>
        </w:rPr>
      </w:pPr>
      <w:r w:rsidRPr="00BD5A31">
        <w:rPr>
          <w:rStyle w:val="FootnoteReference"/>
          <w:sz w:val="20"/>
        </w:rPr>
        <w:footnoteRef/>
      </w:r>
      <w:r w:rsidRPr="00BD5A31">
        <w:rPr>
          <w:sz w:val="20"/>
        </w:rPr>
        <w:t xml:space="preserve"> </w:t>
      </w:r>
      <w:r w:rsidRPr="00AB364B">
        <w:rPr>
          <w:rFonts w:ascii="Times New Roman" w:hAnsi="Times New Roman"/>
          <w:sz w:val="20"/>
        </w:rPr>
        <w:t xml:space="preserve">The ICRC database is available at: </w:t>
      </w:r>
      <w:hyperlink r:id="rId3" w:history="1">
        <w:r w:rsidRPr="00AB364B">
          <w:rPr>
            <w:rStyle w:val="Hyperlink"/>
            <w:rFonts w:ascii="Times New Roman" w:hAnsi="Times New Roman"/>
            <w:color w:val="auto"/>
            <w:sz w:val="20"/>
            <w:u w:val="none"/>
          </w:rPr>
          <w:t>http://familylinks.icrc.org/kosovo/en/pages/search-persons.aspx</w:t>
        </w:r>
      </w:hyperlink>
    </w:p>
    <w:p w14:paraId="428735F3" w14:textId="77777777" w:rsidR="001E45A8" w:rsidRPr="00AB364B" w:rsidRDefault="001E45A8" w:rsidP="00BD5A31">
      <w:pPr>
        <w:pStyle w:val="FootnoteText"/>
        <w:jc w:val="both"/>
        <w:rPr>
          <w:rFonts w:ascii="Times New Roman" w:hAnsi="Times New Roman"/>
          <w:sz w:val="20"/>
          <w:lang w:val="en-US"/>
        </w:rPr>
      </w:pPr>
      <w:r w:rsidRPr="00AB364B">
        <w:rPr>
          <w:rFonts w:ascii="Times New Roman" w:hAnsi="Times New Roman"/>
          <w:sz w:val="20"/>
        </w:rPr>
        <w:t xml:space="preserve"> (</w:t>
      </w:r>
      <w:proofErr w:type="gramStart"/>
      <w:r w:rsidRPr="00AB364B">
        <w:rPr>
          <w:rFonts w:ascii="Times New Roman" w:hAnsi="Times New Roman"/>
          <w:sz w:val="20"/>
        </w:rPr>
        <w:t>accessed</w:t>
      </w:r>
      <w:proofErr w:type="gramEnd"/>
      <w:r w:rsidRPr="00AB364B">
        <w:rPr>
          <w:rFonts w:ascii="Times New Roman" w:hAnsi="Times New Roman"/>
          <w:sz w:val="20"/>
        </w:rPr>
        <w:t xml:space="preserve"> on 16 March 2015).</w:t>
      </w:r>
    </w:p>
  </w:footnote>
  <w:footnote w:id="4">
    <w:p w14:paraId="582D92AD" w14:textId="4A4677BA" w:rsidR="001E45A8" w:rsidRPr="008401B8" w:rsidRDefault="001E45A8" w:rsidP="00FE4EBC">
      <w:pPr>
        <w:pStyle w:val="FootnoteText"/>
        <w:jc w:val="both"/>
        <w:rPr>
          <w:rFonts w:ascii="Times New Roman" w:hAnsi="Times New Roman"/>
          <w:sz w:val="20"/>
          <w:lang w:val="en-US"/>
        </w:rPr>
      </w:pPr>
      <w:r w:rsidRPr="00AB364B">
        <w:rPr>
          <w:rStyle w:val="FootnoteReference"/>
          <w:rFonts w:ascii="Times New Roman" w:hAnsi="Times New Roman"/>
          <w:sz w:val="20"/>
        </w:rPr>
        <w:footnoteRef/>
      </w:r>
      <w:r w:rsidRPr="00AB364B">
        <w:rPr>
          <w:rFonts w:ascii="Times New Roman" w:hAnsi="Times New Roman"/>
          <w:sz w:val="20"/>
        </w:rPr>
        <w:t xml:space="preserve"> The OMPF database is an electronic source not open to public. The Panel accessed it with regard to this case on 16 March 2015.</w:t>
      </w:r>
    </w:p>
  </w:footnote>
  <w:footnote w:id="5">
    <w:p w14:paraId="6760EA29" w14:textId="77777777" w:rsidR="001E45A8" w:rsidRDefault="001E45A8" w:rsidP="003E72FE">
      <w:pPr>
        <w:pStyle w:val="FootnoteText"/>
        <w:jc w:val="both"/>
        <w:rPr>
          <w:rFonts w:ascii="Times New Roman" w:hAnsi="Times New Roman"/>
          <w:sz w:val="20"/>
        </w:rPr>
      </w:pPr>
      <w:r w:rsidRPr="008401B8">
        <w:rPr>
          <w:rStyle w:val="FootnoteReference"/>
          <w:rFonts w:ascii="Times New Roman" w:hAnsi="Times New Roman"/>
          <w:sz w:val="20"/>
        </w:rPr>
        <w:footnoteRef/>
      </w:r>
      <w:r w:rsidRPr="008401B8">
        <w:rPr>
          <w:rFonts w:ascii="Times New Roman" w:hAnsi="Times New Roman"/>
          <w:sz w:val="20"/>
        </w:rPr>
        <w:t xml:space="preserve"> The ICMP database is an electron</w:t>
      </w:r>
      <w:r>
        <w:rPr>
          <w:rFonts w:ascii="Times New Roman" w:hAnsi="Times New Roman"/>
          <w:sz w:val="20"/>
        </w:rPr>
        <w:t>ic source available at</w:t>
      </w:r>
      <w:r w:rsidRPr="00FA0FE6">
        <w:rPr>
          <w:rFonts w:ascii="Times New Roman" w:hAnsi="Times New Roman"/>
          <w:sz w:val="20"/>
        </w:rPr>
        <w:t xml:space="preserve">: </w:t>
      </w:r>
      <w:hyperlink r:id="rId4" w:history="1">
        <w:r w:rsidRPr="00FA0FE6">
          <w:rPr>
            <w:rStyle w:val="Hyperlink"/>
            <w:rFonts w:ascii="Times New Roman" w:hAnsi="Times New Roman"/>
            <w:color w:val="auto"/>
            <w:sz w:val="20"/>
            <w:u w:val="none"/>
          </w:rPr>
          <w:t>www.ic-mp.org/fdmsweb/index.php?w=mp_details&amp;l=en</w:t>
        </w:r>
      </w:hyperlink>
    </w:p>
    <w:p w14:paraId="0C0415A4" w14:textId="629C4286" w:rsidR="001E45A8" w:rsidRPr="008401B8" w:rsidRDefault="001E45A8" w:rsidP="003E72FE">
      <w:pPr>
        <w:pStyle w:val="FootnoteText"/>
        <w:jc w:val="both"/>
        <w:rPr>
          <w:rFonts w:ascii="Times New Roman" w:hAnsi="Times New Roman"/>
          <w:sz w:val="20"/>
        </w:rPr>
      </w:pPr>
      <w:r w:rsidRPr="008401B8">
        <w:rPr>
          <w:rFonts w:ascii="Times New Roman" w:hAnsi="Times New Roman"/>
          <w:sz w:val="20"/>
        </w:rPr>
        <w:t xml:space="preserve"> (</w:t>
      </w:r>
      <w:proofErr w:type="gramStart"/>
      <w:r w:rsidRPr="008D419E">
        <w:rPr>
          <w:rFonts w:ascii="Times New Roman" w:hAnsi="Times New Roman"/>
          <w:sz w:val="20"/>
        </w:rPr>
        <w:t>accessed</w:t>
      </w:r>
      <w:proofErr w:type="gramEnd"/>
      <w:r w:rsidRPr="008D419E">
        <w:rPr>
          <w:rFonts w:ascii="Times New Roman" w:hAnsi="Times New Roman"/>
          <w:sz w:val="20"/>
        </w:rPr>
        <w:t xml:space="preserve"> on 15 March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629DD" w14:textId="77777777" w:rsidR="001E45A8" w:rsidRPr="000722CE" w:rsidRDefault="001E45A8">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6F67A8">
      <w:rPr>
        <w:noProof/>
        <w:sz w:val="20"/>
        <w:szCs w:val="20"/>
      </w:rPr>
      <w:t>33</w:t>
    </w:r>
    <w:r w:rsidRPr="000722CE">
      <w:rPr>
        <w:sz w:val="20"/>
        <w:szCs w:val="20"/>
      </w:rPr>
      <w:fldChar w:fldCharType="end"/>
    </w:r>
  </w:p>
  <w:p w14:paraId="7E40FD0A" w14:textId="77777777" w:rsidR="001E45A8" w:rsidRDefault="001E4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6CA"/>
    <w:multiLevelType w:val="hybridMultilevel"/>
    <w:tmpl w:val="F126F04C"/>
    <w:lvl w:ilvl="0" w:tplc="CD68CE0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6630C0"/>
    <w:multiLevelType w:val="hybridMultilevel"/>
    <w:tmpl w:val="CCAC97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7">
    <w:nsid w:val="3841526C"/>
    <w:multiLevelType w:val="hybridMultilevel"/>
    <w:tmpl w:val="E72E50F2"/>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F041B8"/>
    <w:multiLevelType w:val="hybridMultilevel"/>
    <w:tmpl w:val="F2D8E472"/>
    <w:lvl w:ilvl="0" w:tplc="CD68CE0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B73578"/>
    <w:multiLevelType w:val="hybridMultilevel"/>
    <w:tmpl w:val="42841CEC"/>
    <w:lvl w:ilvl="0" w:tplc="EDFCA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2"/>
  </w:num>
  <w:num w:numId="4">
    <w:abstractNumId w:val="9"/>
  </w:num>
  <w:num w:numId="5">
    <w:abstractNumId w:val="13"/>
  </w:num>
  <w:num w:numId="6">
    <w:abstractNumId w:val="3"/>
  </w:num>
  <w:num w:numId="7">
    <w:abstractNumId w:val="11"/>
  </w:num>
  <w:num w:numId="8">
    <w:abstractNumId w:val="6"/>
  </w:num>
  <w:num w:numId="9">
    <w:abstractNumId w:val="4"/>
  </w:num>
  <w:num w:numId="10">
    <w:abstractNumId w:val="1"/>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16"/>
  </w:num>
  <w:num w:numId="19">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6A7B"/>
    <w:rsid w:val="000072A4"/>
    <w:rsid w:val="00007E91"/>
    <w:rsid w:val="0001052E"/>
    <w:rsid w:val="00012BBB"/>
    <w:rsid w:val="0001588C"/>
    <w:rsid w:val="00015EAF"/>
    <w:rsid w:val="0002011C"/>
    <w:rsid w:val="000209DC"/>
    <w:rsid w:val="00021480"/>
    <w:rsid w:val="00022E69"/>
    <w:rsid w:val="0002369B"/>
    <w:rsid w:val="00025BD8"/>
    <w:rsid w:val="00025D67"/>
    <w:rsid w:val="00025DC5"/>
    <w:rsid w:val="000300C8"/>
    <w:rsid w:val="00031471"/>
    <w:rsid w:val="00033882"/>
    <w:rsid w:val="00033D6B"/>
    <w:rsid w:val="00035A70"/>
    <w:rsid w:val="00041D60"/>
    <w:rsid w:val="00042514"/>
    <w:rsid w:val="00044820"/>
    <w:rsid w:val="00044FA2"/>
    <w:rsid w:val="00050B85"/>
    <w:rsid w:val="00052C53"/>
    <w:rsid w:val="00054459"/>
    <w:rsid w:val="000565C8"/>
    <w:rsid w:val="00056A25"/>
    <w:rsid w:val="00057B23"/>
    <w:rsid w:val="00060474"/>
    <w:rsid w:val="00060C2E"/>
    <w:rsid w:val="00060C31"/>
    <w:rsid w:val="000618F1"/>
    <w:rsid w:val="00062401"/>
    <w:rsid w:val="00063A91"/>
    <w:rsid w:val="00064CF9"/>
    <w:rsid w:val="00064E34"/>
    <w:rsid w:val="0006762B"/>
    <w:rsid w:val="00071523"/>
    <w:rsid w:val="000722CE"/>
    <w:rsid w:val="00073F8C"/>
    <w:rsid w:val="00074D6B"/>
    <w:rsid w:val="00075D74"/>
    <w:rsid w:val="00075FC9"/>
    <w:rsid w:val="00077145"/>
    <w:rsid w:val="000772AE"/>
    <w:rsid w:val="00077DE9"/>
    <w:rsid w:val="0008098F"/>
    <w:rsid w:val="0008099B"/>
    <w:rsid w:val="00082345"/>
    <w:rsid w:val="00086415"/>
    <w:rsid w:val="000875E1"/>
    <w:rsid w:val="00091C96"/>
    <w:rsid w:val="0009345C"/>
    <w:rsid w:val="00094FA3"/>
    <w:rsid w:val="000958B3"/>
    <w:rsid w:val="000A21A8"/>
    <w:rsid w:val="000A233E"/>
    <w:rsid w:val="000A4208"/>
    <w:rsid w:val="000A49BC"/>
    <w:rsid w:val="000A4C40"/>
    <w:rsid w:val="000A65EB"/>
    <w:rsid w:val="000A6E33"/>
    <w:rsid w:val="000A7439"/>
    <w:rsid w:val="000A7BA0"/>
    <w:rsid w:val="000B133A"/>
    <w:rsid w:val="000B139B"/>
    <w:rsid w:val="000B4234"/>
    <w:rsid w:val="000B46F6"/>
    <w:rsid w:val="000B51F2"/>
    <w:rsid w:val="000B5C31"/>
    <w:rsid w:val="000C425B"/>
    <w:rsid w:val="000C7592"/>
    <w:rsid w:val="000C7B8E"/>
    <w:rsid w:val="000D0543"/>
    <w:rsid w:val="000D0693"/>
    <w:rsid w:val="000D1606"/>
    <w:rsid w:val="000D2756"/>
    <w:rsid w:val="000D362F"/>
    <w:rsid w:val="000D46DF"/>
    <w:rsid w:val="000D579F"/>
    <w:rsid w:val="000D59E7"/>
    <w:rsid w:val="000D5BCF"/>
    <w:rsid w:val="000E12A4"/>
    <w:rsid w:val="000E23B6"/>
    <w:rsid w:val="000E2956"/>
    <w:rsid w:val="000E2A2A"/>
    <w:rsid w:val="000E59FE"/>
    <w:rsid w:val="000E7030"/>
    <w:rsid w:val="000F2772"/>
    <w:rsid w:val="000F475D"/>
    <w:rsid w:val="000F5F92"/>
    <w:rsid w:val="000F6E16"/>
    <w:rsid w:val="000F7E70"/>
    <w:rsid w:val="001003BC"/>
    <w:rsid w:val="0010071F"/>
    <w:rsid w:val="001018B0"/>
    <w:rsid w:val="00102BB7"/>
    <w:rsid w:val="00106865"/>
    <w:rsid w:val="00111B60"/>
    <w:rsid w:val="00112081"/>
    <w:rsid w:val="00112756"/>
    <w:rsid w:val="001132C3"/>
    <w:rsid w:val="00113503"/>
    <w:rsid w:val="00114786"/>
    <w:rsid w:val="0011549D"/>
    <w:rsid w:val="001155AC"/>
    <w:rsid w:val="00117054"/>
    <w:rsid w:val="00121E9E"/>
    <w:rsid w:val="00122DFB"/>
    <w:rsid w:val="00122F00"/>
    <w:rsid w:val="00123F99"/>
    <w:rsid w:val="001279D7"/>
    <w:rsid w:val="00133592"/>
    <w:rsid w:val="001350FB"/>
    <w:rsid w:val="001403C2"/>
    <w:rsid w:val="00140481"/>
    <w:rsid w:val="0014048A"/>
    <w:rsid w:val="0014335B"/>
    <w:rsid w:val="001449C9"/>
    <w:rsid w:val="00144AF1"/>
    <w:rsid w:val="0014568C"/>
    <w:rsid w:val="00145983"/>
    <w:rsid w:val="00146524"/>
    <w:rsid w:val="001512A5"/>
    <w:rsid w:val="001512EA"/>
    <w:rsid w:val="001530BE"/>
    <w:rsid w:val="00153694"/>
    <w:rsid w:val="00154325"/>
    <w:rsid w:val="00154829"/>
    <w:rsid w:val="00154E5E"/>
    <w:rsid w:val="0016154E"/>
    <w:rsid w:val="001642C0"/>
    <w:rsid w:val="00164407"/>
    <w:rsid w:val="0016631D"/>
    <w:rsid w:val="00166DB7"/>
    <w:rsid w:val="00167450"/>
    <w:rsid w:val="00167A47"/>
    <w:rsid w:val="00171AFB"/>
    <w:rsid w:val="00171E19"/>
    <w:rsid w:val="001727C1"/>
    <w:rsid w:val="00172B14"/>
    <w:rsid w:val="001730D5"/>
    <w:rsid w:val="001732BF"/>
    <w:rsid w:val="00173F75"/>
    <w:rsid w:val="00177E8D"/>
    <w:rsid w:val="001804D5"/>
    <w:rsid w:val="001808EB"/>
    <w:rsid w:val="00181AA5"/>
    <w:rsid w:val="00183978"/>
    <w:rsid w:val="0018424E"/>
    <w:rsid w:val="00184384"/>
    <w:rsid w:val="001850F5"/>
    <w:rsid w:val="001852D9"/>
    <w:rsid w:val="00186B18"/>
    <w:rsid w:val="00190271"/>
    <w:rsid w:val="00194191"/>
    <w:rsid w:val="00194356"/>
    <w:rsid w:val="00194800"/>
    <w:rsid w:val="00194D93"/>
    <w:rsid w:val="00195ECC"/>
    <w:rsid w:val="00197979"/>
    <w:rsid w:val="001A08B0"/>
    <w:rsid w:val="001A4AF8"/>
    <w:rsid w:val="001A57F8"/>
    <w:rsid w:val="001A5F6B"/>
    <w:rsid w:val="001A6816"/>
    <w:rsid w:val="001B155D"/>
    <w:rsid w:val="001B1A1A"/>
    <w:rsid w:val="001B241F"/>
    <w:rsid w:val="001B44B7"/>
    <w:rsid w:val="001B4620"/>
    <w:rsid w:val="001B4F35"/>
    <w:rsid w:val="001B6B46"/>
    <w:rsid w:val="001B768F"/>
    <w:rsid w:val="001B7E46"/>
    <w:rsid w:val="001C0F0F"/>
    <w:rsid w:val="001C2229"/>
    <w:rsid w:val="001C238F"/>
    <w:rsid w:val="001C4D63"/>
    <w:rsid w:val="001C6555"/>
    <w:rsid w:val="001D031A"/>
    <w:rsid w:val="001D2C42"/>
    <w:rsid w:val="001D311B"/>
    <w:rsid w:val="001D3C35"/>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45A8"/>
    <w:rsid w:val="001E5241"/>
    <w:rsid w:val="001E5F6A"/>
    <w:rsid w:val="001E6809"/>
    <w:rsid w:val="001E69F5"/>
    <w:rsid w:val="001F16A1"/>
    <w:rsid w:val="001F1FF3"/>
    <w:rsid w:val="001F27D0"/>
    <w:rsid w:val="001F3585"/>
    <w:rsid w:val="001F36C9"/>
    <w:rsid w:val="001F3C32"/>
    <w:rsid w:val="001F4AC3"/>
    <w:rsid w:val="001F5B6B"/>
    <w:rsid w:val="001F6A62"/>
    <w:rsid w:val="001F7985"/>
    <w:rsid w:val="001F7B37"/>
    <w:rsid w:val="00201CB5"/>
    <w:rsid w:val="00202598"/>
    <w:rsid w:val="00202F90"/>
    <w:rsid w:val="00203109"/>
    <w:rsid w:val="00203FF4"/>
    <w:rsid w:val="002070ED"/>
    <w:rsid w:val="002074D2"/>
    <w:rsid w:val="00207662"/>
    <w:rsid w:val="00207EF6"/>
    <w:rsid w:val="002119C2"/>
    <w:rsid w:val="0021476D"/>
    <w:rsid w:val="002147F2"/>
    <w:rsid w:val="00215EA8"/>
    <w:rsid w:val="00221B7A"/>
    <w:rsid w:val="00222D2F"/>
    <w:rsid w:val="00225BAB"/>
    <w:rsid w:val="002274C0"/>
    <w:rsid w:val="00231A61"/>
    <w:rsid w:val="00231EE6"/>
    <w:rsid w:val="0023308F"/>
    <w:rsid w:val="0023537F"/>
    <w:rsid w:val="002360DA"/>
    <w:rsid w:val="002361C0"/>
    <w:rsid w:val="00236A14"/>
    <w:rsid w:val="00237A05"/>
    <w:rsid w:val="00242881"/>
    <w:rsid w:val="002437E9"/>
    <w:rsid w:val="002443C3"/>
    <w:rsid w:val="002471CF"/>
    <w:rsid w:val="002473B8"/>
    <w:rsid w:val="00247B84"/>
    <w:rsid w:val="00250C69"/>
    <w:rsid w:val="0025147D"/>
    <w:rsid w:val="00251D80"/>
    <w:rsid w:val="002522FB"/>
    <w:rsid w:val="002524AF"/>
    <w:rsid w:val="00252B9E"/>
    <w:rsid w:val="002539EF"/>
    <w:rsid w:val="00253F95"/>
    <w:rsid w:val="0025400A"/>
    <w:rsid w:val="00255130"/>
    <w:rsid w:val="00255D57"/>
    <w:rsid w:val="00260384"/>
    <w:rsid w:val="002624D6"/>
    <w:rsid w:val="00262A2F"/>
    <w:rsid w:val="00262B1E"/>
    <w:rsid w:val="00262B44"/>
    <w:rsid w:val="0026374C"/>
    <w:rsid w:val="002640D8"/>
    <w:rsid w:val="00265A15"/>
    <w:rsid w:val="00267300"/>
    <w:rsid w:val="0027204F"/>
    <w:rsid w:val="00273478"/>
    <w:rsid w:val="002737ED"/>
    <w:rsid w:val="002745CF"/>
    <w:rsid w:val="00275342"/>
    <w:rsid w:val="00275457"/>
    <w:rsid w:val="002758B9"/>
    <w:rsid w:val="00276562"/>
    <w:rsid w:val="00276E5E"/>
    <w:rsid w:val="002816FF"/>
    <w:rsid w:val="00281FB3"/>
    <w:rsid w:val="00284A77"/>
    <w:rsid w:val="00285F55"/>
    <w:rsid w:val="0028685C"/>
    <w:rsid w:val="00287CA7"/>
    <w:rsid w:val="00291D60"/>
    <w:rsid w:val="00294415"/>
    <w:rsid w:val="002948A6"/>
    <w:rsid w:val="00296C0B"/>
    <w:rsid w:val="00296DF3"/>
    <w:rsid w:val="002A18D6"/>
    <w:rsid w:val="002A1DEC"/>
    <w:rsid w:val="002A29A6"/>
    <w:rsid w:val="002A4749"/>
    <w:rsid w:val="002A7AFC"/>
    <w:rsid w:val="002B171F"/>
    <w:rsid w:val="002B26D6"/>
    <w:rsid w:val="002B402A"/>
    <w:rsid w:val="002B4F4E"/>
    <w:rsid w:val="002B520C"/>
    <w:rsid w:val="002B6427"/>
    <w:rsid w:val="002C03BD"/>
    <w:rsid w:val="002C1C5F"/>
    <w:rsid w:val="002C2761"/>
    <w:rsid w:val="002C568F"/>
    <w:rsid w:val="002C60F4"/>
    <w:rsid w:val="002C656A"/>
    <w:rsid w:val="002C6D03"/>
    <w:rsid w:val="002C786F"/>
    <w:rsid w:val="002D180A"/>
    <w:rsid w:val="002D3DA0"/>
    <w:rsid w:val="002D428F"/>
    <w:rsid w:val="002D5601"/>
    <w:rsid w:val="002D5DD4"/>
    <w:rsid w:val="002D7790"/>
    <w:rsid w:val="002E02C5"/>
    <w:rsid w:val="002E04D2"/>
    <w:rsid w:val="002E0AF3"/>
    <w:rsid w:val="002E1F96"/>
    <w:rsid w:val="002E2507"/>
    <w:rsid w:val="002F1033"/>
    <w:rsid w:val="002F2D96"/>
    <w:rsid w:val="002F42C3"/>
    <w:rsid w:val="002F46FC"/>
    <w:rsid w:val="002F4D66"/>
    <w:rsid w:val="002F65E3"/>
    <w:rsid w:val="00301DAC"/>
    <w:rsid w:val="00304848"/>
    <w:rsid w:val="00304D18"/>
    <w:rsid w:val="00310CFD"/>
    <w:rsid w:val="00310F91"/>
    <w:rsid w:val="00312441"/>
    <w:rsid w:val="00316A34"/>
    <w:rsid w:val="00321451"/>
    <w:rsid w:val="00321C03"/>
    <w:rsid w:val="00322780"/>
    <w:rsid w:val="00323223"/>
    <w:rsid w:val="00326663"/>
    <w:rsid w:val="003306C0"/>
    <w:rsid w:val="00330F5D"/>
    <w:rsid w:val="003324DB"/>
    <w:rsid w:val="00332682"/>
    <w:rsid w:val="003337EF"/>
    <w:rsid w:val="00333C22"/>
    <w:rsid w:val="00333CD6"/>
    <w:rsid w:val="00335687"/>
    <w:rsid w:val="003360CC"/>
    <w:rsid w:val="00337F92"/>
    <w:rsid w:val="0034188D"/>
    <w:rsid w:val="0034219E"/>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3198"/>
    <w:rsid w:val="0036506B"/>
    <w:rsid w:val="003653FA"/>
    <w:rsid w:val="00366207"/>
    <w:rsid w:val="003700EB"/>
    <w:rsid w:val="003725D1"/>
    <w:rsid w:val="00372A92"/>
    <w:rsid w:val="003733F1"/>
    <w:rsid w:val="0037385F"/>
    <w:rsid w:val="00374546"/>
    <w:rsid w:val="00375153"/>
    <w:rsid w:val="003778B8"/>
    <w:rsid w:val="00380A17"/>
    <w:rsid w:val="003837C8"/>
    <w:rsid w:val="00385A0E"/>
    <w:rsid w:val="00385EAF"/>
    <w:rsid w:val="00387666"/>
    <w:rsid w:val="003905A1"/>
    <w:rsid w:val="00390AE0"/>
    <w:rsid w:val="003931B9"/>
    <w:rsid w:val="0039337A"/>
    <w:rsid w:val="003936AC"/>
    <w:rsid w:val="00393E7A"/>
    <w:rsid w:val="00393E8D"/>
    <w:rsid w:val="0039675C"/>
    <w:rsid w:val="003A0AF8"/>
    <w:rsid w:val="003A2EBD"/>
    <w:rsid w:val="003A3EA5"/>
    <w:rsid w:val="003A3EAA"/>
    <w:rsid w:val="003A658C"/>
    <w:rsid w:val="003A7B8B"/>
    <w:rsid w:val="003B0328"/>
    <w:rsid w:val="003B1C80"/>
    <w:rsid w:val="003B1F5E"/>
    <w:rsid w:val="003B2010"/>
    <w:rsid w:val="003B29DC"/>
    <w:rsid w:val="003B3907"/>
    <w:rsid w:val="003B43F3"/>
    <w:rsid w:val="003B5FD2"/>
    <w:rsid w:val="003B7650"/>
    <w:rsid w:val="003C080C"/>
    <w:rsid w:val="003C09F5"/>
    <w:rsid w:val="003C1DDB"/>
    <w:rsid w:val="003C3BF4"/>
    <w:rsid w:val="003C5F4E"/>
    <w:rsid w:val="003C6352"/>
    <w:rsid w:val="003D1D0C"/>
    <w:rsid w:val="003D2EB6"/>
    <w:rsid w:val="003D5866"/>
    <w:rsid w:val="003E09D2"/>
    <w:rsid w:val="003E15D7"/>
    <w:rsid w:val="003E3EC5"/>
    <w:rsid w:val="003E3F85"/>
    <w:rsid w:val="003E5B71"/>
    <w:rsid w:val="003E5FA6"/>
    <w:rsid w:val="003E64E0"/>
    <w:rsid w:val="003E72FE"/>
    <w:rsid w:val="003E74BC"/>
    <w:rsid w:val="003F02E5"/>
    <w:rsid w:val="003F02F9"/>
    <w:rsid w:val="003F1FC4"/>
    <w:rsid w:val="003F3442"/>
    <w:rsid w:val="003F4D2F"/>
    <w:rsid w:val="003F53A4"/>
    <w:rsid w:val="003F54A4"/>
    <w:rsid w:val="003F5D1D"/>
    <w:rsid w:val="003F6AD6"/>
    <w:rsid w:val="003F7337"/>
    <w:rsid w:val="003F733F"/>
    <w:rsid w:val="003F7C2B"/>
    <w:rsid w:val="00400CED"/>
    <w:rsid w:val="00401FD2"/>
    <w:rsid w:val="00402699"/>
    <w:rsid w:val="00402B8F"/>
    <w:rsid w:val="004033CB"/>
    <w:rsid w:val="00405334"/>
    <w:rsid w:val="00405C17"/>
    <w:rsid w:val="00406D2B"/>
    <w:rsid w:val="0041262D"/>
    <w:rsid w:val="00414BA2"/>
    <w:rsid w:val="00420088"/>
    <w:rsid w:val="004202B2"/>
    <w:rsid w:val="00422729"/>
    <w:rsid w:val="00423598"/>
    <w:rsid w:val="0042549A"/>
    <w:rsid w:val="00426A3B"/>
    <w:rsid w:val="00427A31"/>
    <w:rsid w:val="0043016C"/>
    <w:rsid w:val="00430BBE"/>
    <w:rsid w:val="00430D9E"/>
    <w:rsid w:val="00433154"/>
    <w:rsid w:val="0043400E"/>
    <w:rsid w:val="00434BB6"/>
    <w:rsid w:val="0043575D"/>
    <w:rsid w:val="0044072F"/>
    <w:rsid w:val="00440903"/>
    <w:rsid w:val="00440E88"/>
    <w:rsid w:val="0044246C"/>
    <w:rsid w:val="00443568"/>
    <w:rsid w:val="00445EAD"/>
    <w:rsid w:val="0044617E"/>
    <w:rsid w:val="004504C3"/>
    <w:rsid w:val="0045100B"/>
    <w:rsid w:val="00452920"/>
    <w:rsid w:val="004534C4"/>
    <w:rsid w:val="00455594"/>
    <w:rsid w:val="0045684F"/>
    <w:rsid w:val="00456871"/>
    <w:rsid w:val="00461097"/>
    <w:rsid w:val="00462146"/>
    <w:rsid w:val="00466DCF"/>
    <w:rsid w:val="00466E32"/>
    <w:rsid w:val="004714D9"/>
    <w:rsid w:val="00472580"/>
    <w:rsid w:val="00472DFF"/>
    <w:rsid w:val="00473041"/>
    <w:rsid w:val="00474109"/>
    <w:rsid w:val="00476418"/>
    <w:rsid w:val="0047658A"/>
    <w:rsid w:val="00476D2E"/>
    <w:rsid w:val="00481297"/>
    <w:rsid w:val="004812CA"/>
    <w:rsid w:val="004817F4"/>
    <w:rsid w:val="00482953"/>
    <w:rsid w:val="004865D9"/>
    <w:rsid w:val="00487680"/>
    <w:rsid w:val="00487961"/>
    <w:rsid w:val="0049115E"/>
    <w:rsid w:val="004915E6"/>
    <w:rsid w:val="00491629"/>
    <w:rsid w:val="00491B79"/>
    <w:rsid w:val="004938F7"/>
    <w:rsid w:val="00494E3A"/>
    <w:rsid w:val="00495CD7"/>
    <w:rsid w:val="004961CD"/>
    <w:rsid w:val="004963EA"/>
    <w:rsid w:val="00497092"/>
    <w:rsid w:val="00497C0C"/>
    <w:rsid w:val="004A010F"/>
    <w:rsid w:val="004A04CF"/>
    <w:rsid w:val="004A3362"/>
    <w:rsid w:val="004A4616"/>
    <w:rsid w:val="004A4D35"/>
    <w:rsid w:val="004A4D91"/>
    <w:rsid w:val="004A5616"/>
    <w:rsid w:val="004B095F"/>
    <w:rsid w:val="004B394B"/>
    <w:rsid w:val="004B426D"/>
    <w:rsid w:val="004B5E0A"/>
    <w:rsid w:val="004B627D"/>
    <w:rsid w:val="004B698B"/>
    <w:rsid w:val="004B7427"/>
    <w:rsid w:val="004B7B66"/>
    <w:rsid w:val="004B7D5D"/>
    <w:rsid w:val="004C0211"/>
    <w:rsid w:val="004C02CE"/>
    <w:rsid w:val="004C104C"/>
    <w:rsid w:val="004C2A3A"/>
    <w:rsid w:val="004C541B"/>
    <w:rsid w:val="004C5ECD"/>
    <w:rsid w:val="004C5F53"/>
    <w:rsid w:val="004C6E8C"/>
    <w:rsid w:val="004C7167"/>
    <w:rsid w:val="004C78D2"/>
    <w:rsid w:val="004D1952"/>
    <w:rsid w:val="004D2F71"/>
    <w:rsid w:val="004D4C22"/>
    <w:rsid w:val="004D4DDE"/>
    <w:rsid w:val="004D6808"/>
    <w:rsid w:val="004D7B57"/>
    <w:rsid w:val="004E1F8C"/>
    <w:rsid w:val="004E415C"/>
    <w:rsid w:val="004E440D"/>
    <w:rsid w:val="004E6657"/>
    <w:rsid w:val="004E7BB8"/>
    <w:rsid w:val="004F07E2"/>
    <w:rsid w:val="004F0CAB"/>
    <w:rsid w:val="004F23AE"/>
    <w:rsid w:val="004F45E5"/>
    <w:rsid w:val="004F71FD"/>
    <w:rsid w:val="004F77C7"/>
    <w:rsid w:val="005006CB"/>
    <w:rsid w:val="005009F9"/>
    <w:rsid w:val="00503BB3"/>
    <w:rsid w:val="00505C47"/>
    <w:rsid w:val="005077B1"/>
    <w:rsid w:val="005125E2"/>
    <w:rsid w:val="00512BF7"/>
    <w:rsid w:val="00514229"/>
    <w:rsid w:val="00514F78"/>
    <w:rsid w:val="00516234"/>
    <w:rsid w:val="00516F75"/>
    <w:rsid w:val="0052139E"/>
    <w:rsid w:val="00522823"/>
    <w:rsid w:val="00523386"/>
    <w:rsid w:val="005233A9"/>
    <w:rsid w:val="00523C89"/>
    <w:rsid w:val="0052416C"/>
    <w:rsid w:val="005244D2"/>
    <w:rsid w:val="005257A6"/>
    <w:rsid w:val="005257F4"/>
    <w:rsid w:val="005320BE"/>
    <w:rsid w:val="005332B2"/>
    <w:rsid w:val="00535B71"/>
    <w:rsid w:val="00535F04"/>
    <w:rsid w:val="00536F69"/>
    <w:rsid w:val="005376DF"/>
    <w:rsid w:val="00537784"/>
    <w:rsid w:val="005400F7"/>
    <w:rsid w:val="0054280D"/>
    <w:rsid w:val="005445C1"/>
    <w:rsid w:val="00544669"/>
    <w:rsid w:val="00544E5A"/>
    <w:rsid w:val="00545A64"/>
    <w:rsid w:val="00546DB5"/>
    <w:rsid w:val="00551A17"/>
    <w:rsid w:val="00552913"/>
    <w:rsid w:val="00552E02"/>
    <w:rsid w:val="00553535"/>
    <w:rsid w:val="005547B8"/>
    <w:rsid w:val="005551E0"/>
    <w:rsid w:val="00555891"/>
    <w:rsid w:val="0055732C"/>
    <w:rsid w:val="00557F1B"/>
    <w:rsid w:val="00560510"/>
    <w:rsid w:val="00561138"/>
    <w:rsid w:val="00562343"/>
    <w:rsid w:val="005627CC"/>
    <w:rsid w:val="00562AE1"/>
    <w:rsid w:val="00562FDF"/>
    <w:rsid w:val="0056401D"/>
    <w:rsid w:val="00564D34"/>
    <w:rsid w:val="00564F1B"/>
    <w:rsid w:val="00565DC7"/>
    <w:rsid w:val="00566413"/>
    <w:rsid w:val="00566ACD"/>
    <w:rsid w:val="00570CB4"/>
    <w:rsid w:val="00572199"/>
    <w:rsid w:val="0057242B"/>
    <w:rsid w:val="0057242F"/>
    <w:rsid w:val="005724AA"/>
    <w:rsid w:val="005728B8"/>
    <w:rsid w:val="00574094"/>
    <w:rsid w:val="0057625F"/>
    <w:rsid w:val="00576B13"/>
    <w:rsid w:val="00577877"/>
    <w:rsid w:val="005802A4"/>
    <w:rsid w:val="00581378"/>
    <w:rsid w:val="0058249E"/>
    <w:rsid w:val="0058307C"/>
    <w:rsid w:val="005836D4"/>
    <w:rsid w:val="00584113"/>
    <w:rsid w:val="00586F00"/>
    <w:rsid w:val="00590DAC"/>
    <w:rsid w:val="0059175C"/>
    <w:rsid w:val="005917EC"/>
    <w:rsid w:val="0059532D"/>
    <w:rsid w:val="00595E25"/>
    <w:rsid w:val="00596544"/>
    <w:rsid w:val="00596E66"/>
    <w:rsid w:val="005A068B"/>
    <w:rsid w:val="005A1063"/>
    <w:rsid w:val="005A1CB2"/>
    <w:rsid w:val="005A1E72"/>
    <w:rsid w:val="005A21F6"/>
    <w:rsid w:val="005A2D17"/>
    <w:rsid w:val="005A3CF1"/>
    <w:rsid w:val="005A4111"/>
    <w:rsid w:val="005A6546"/>
    <w:rsid w:val="005A6E82"/>
    <w:rsid w:val="005B5EAD"/>
    <w:rsid w:val="005C110C"/>
    <w:rsid w:val="005C1D18"/>
    <w:rsid w:val="005C2555"/>
    <w:rsid w:val="005C3CD5"/>
    <w:rsid w:val="005C437F"/>
    <w:rsid w:val="005C4D36"/>
    <w:rsid w:val="005C51CD"/>
    <w:rsid w:val="005C65AF"/>
    <w:rsid w:val="005C78E7"/>
    <w:rsid w:val="005D10AB"/>
    <w:rsid w:val="005D110D"/>
    <w:rsid w:val="005D12FB"/>
    <w:rsid w:val="005D2F19"/>
    <w:rsid w:val="005D3ED0"/>
    <w:rsid w:val="005D5F1A"/>
    <w:rsid w:val="005E361B"/>
    <w:rsid w:val="005E37C5"/>
    <w:rsid w:val="005E403F"/>
    <w:rsid w:val="005E4930"/>
    <w:rsid w:val="005E6E2D"/>
    <w:rsid w:val="005E7C8F"/>
    <w:rsid w:val="005F0A19"/>
    <w:rsid w:val="005F1265"/>
    <w:rsid w:val="005F3797"/>
    <w:rsid w:val="005F4187"/>
    <w:rsid w:val="005F67F5"/>
    <w:rsid w:val="005F686D"/>
    <w:rsid w:val="005F689D"/>
    <w:rsid w:val="005F6DB3"/>
    <w:rsid w:val="005F742B"/>
    <w:rsid w:val="00603A86"/>
    <w:rsid w:val="00603C7F"/>
    <w:rsid w:val="00603D49"/>
    <w:rsid w:val="00605915"/>
    <w:rsid w:val="00606C3D"/>
    <w:rsid w:val="006111E0"/>
    <w:rsid w:val="00612698"/>
    <w:rsid w:val="00612EEF"/>
    <w:rsid w:val="00616A11"/>
    <w:rsid w:val="00617352"/>
    <w:rsid w:val="006205AF"/>
    <w:rsid w:val="00621EDB"/>
    <w:rsid w:val="00622236"/>
    <w:rsid w:val="0062454F"/>
    <w:rsid w:val="00624C2B"/>
    <w:rsid w:val="00626D88"/>
    <w:rsid w:val="00627BF9"/>
    <w:rsid w:val="00627C8E"/>
    <w:rsid w:val="0063039E"/>
    <w:rsid w:val="006366D0"/>
    <w:rsid w:val="00640576"/>
    <w:rsid w:val="00643780"/>
    <w:rsid w:val="00643C1A"/>
    <w:rsid w:val="00645CFD"/>
    <w:rsid w:val="00645FDE"/>
    <w:rsid w:val="00646CA4"/>
    <w:rsid w:val="00647569"/>
    <w:rsid w:val="006475BB"/>
    <w:rsid w:val="00647FB1"/>
    <w:rsid w:val="00653ED0"/>
    <w:rsid w:val="00654840"/>
    <w:rsid w:val="0065509D"/>
    <w:rsid w:val="006552EA"/>
    <w:rsid w:val="006572B0"/>
    <w:rsid w:val="00657746"/>
    <w:rsid w:val="00660FE2"/>
    <w:rsid w:val="00661955"/>
    <w:rsid w:val="00666D9E"/>
    <w:rsid w:val="006719B3"/>
    <w:rsid w:val="006721DE"/>
    <w:rsid w:val="006727E3"/>
    <w:rsid w:val="00672847"/>
    <w:rsid w:val="00672EBE"/>
    <w:rsid w:val="00673EE6"/>
    <w:rsid w:val="00674101"/>
    <w:rsid w:val="00674C30"/>
    <w:rsid w:val="00675375"/>
    <w:rsid w:val="00675587"/>
    <w:rsid w:val="00677B90"/>
    <w:rsid w:val="00680C67"/>
    <w:rsid w:val="00680D38"/>
    <w:rsid w:val="00680D8D"/>
    <w:rsid w:val="00680EF0"/>
    <w:rsid w:val="00681CBA"/>
    <w:rsid w:val="00683067"/>
    <w:rsid w:val="00683122"/>
    <w:rsid w:val="006840D8"/>
    <w:rsid w:val="00684DAD"/>
    <w:rsid w:val="00684F40"/>
    <w:rsid w:val="0068501A"/>
    <w:rsid w:val="00685FBC"/>
    <w:rsid w:val="00687ACD"/>
    <w:rsid w:val="006918C3"/>
    <w:rsid w:val="00691BC4"/>
    <w:rsid w:val="006946F9"/>
    <w:rsid w:val="006958C0"/>
    <w:rsid w:val="00697A75"/>
    <w:rsid w:val="006A09FC"/>
    <w:rsid w:val="006A1710"/>
    <w:rsid w:val="006A23DF"/>
    <w:rsid w:val="006A2CDF"/>
    <w:rsid w:val="006A7C1B"/>
    <w:rsid w:val="006B052B"/>
    <w:rsid w:val="006B0F7C"/>
    <w:rsid w:val="006B153E"/>
    <w:rsid w:val="006B3488"/>
    <w:rsid w:val="006B3F3C"/>
    <w:rsid w:val="006B49BF"/>
    <w:rsid w:val="006B4A0D"/>
    <w:rsid w:val="006B4D3F"/>
    <w:rsid w:val="006B5D21"/>
    <w:rsid w:val="006B61A2"/>
    <w:rsid w:val="006B7095"/>
    <w:rsid w:val="006B7576"/>
    <w:rsid w:val="006C155F"/>
    <w:rsid w:val="006C2C85"/>
    <w:rsid w:val="006C468F"/>
    <w:rsid w:val="006C632F"/>
    <w:rsid w:val="006D07AF"/>
    <w:rsid w:val="006D10DA"/>
    <w:rsid w:val="006D151D"/>
    <w:rsid w:val="006D223B"/>
    <w:rsid w:val="006D27C6"/>
    <w:rsid w:val="006D36DF"/>
    <w:rsid w:val="006D3708"/>
    <w:rsid w:val="006D4B5A"/>
    <w:rsid w:val="006D56A5"/>
    <w:rsid w:val="006D7BF7"/>
    <w:rsid w:val="006D7EF2"/>
    <w:rsid w:val="006E04B1"/>
    <w:rsid w:val="006E0A93"/>
    <w:rsid w:val="006E22BD"/>
    <w:rsid w:val="006E22C0"/>
    <w:rsid w:val="006E2940"/>
    <w:rsid w:val="006E2B68"/>
    <w:rsid w:val="006E39D3"/>
    <w:rsid w:val="006E50ED"/>
    <w:rsid w:val="006E61AD"/>
    <w:rsid w:val="006E6458"/>
    <w:rsid w:val="006E6658"/>
    <w:rsid w:val="006E6FD9"/>
    <w:rsid w:val="006E769B"/>
    <w:rsid w:val="006F08BF"/>
    <w:rsid w:val="006F185F"/>
    <w:rsid w:val="006F3248"/>
    <w:rsid w:val="006F3551"/>
    <w:rsid w:val="006F35D0"/>
    <w:rsid w:val="006F38CB"/>
    <w:rsid w:val="006F4F29"/>
    <w:rsid w:val="006F5AEE"/>
    <w:rsid w:val="006F67A8"/>
    <w:rsid w:val="00701BF3"/>
    <w:rsid w:val="00703CEB"/>
    <w:rsid w:val="007047D9"/>
    <w:rsid w:val="007113B1"/>
    <w:rsid w:val="00711C23"/>
    <w:rsid w:val="00711F6E"/>
    <w:rsid w:val="00712081"/>
    <w:rsid w:val="00712F51"/>
    <w:rsid w:val="00713389"/>
    <w:rsid w:val="00717451"/>
    <w:rsid w:val="00717EFD"/>
    <w:rsid w:val="00722152"/>
    <w:rsid w:val="007226EA"/>
    <w:rsid w:val="0072411F"/>
    <w:rsid w:val="00724AC2"/>
    <w:rsid w:val="00724F0F"/>
    <w:rsid w:val="007262D2"/>
    <w:rsid w:val="007268E7"/>
    <w:rsid w:val="007270F4"/>
    <w:rsid w:val="007339BC"/>
    <w:rsid w:val="00734B20"/>
    <w:rsid w:val="00735744"/>
    <w:rsid w:val="00741861"/>
    <w:rsid w:val="0074205E"/>
    <w:rsid w:val="007421B8"/>
    <w:rsid w:val="007424FB"/>
    <w:rsid w:val="00743572"/>
    <w:rsid w:val="00743F72"/>
    <w:rsid w:val="00745771"/>
    <w:rsid w:val="0075283E"/>
    <w:rsid w:val="00752CBA"/>
    <w:rsid w:val="00752CDF"/>
    <w:rsid w:val="0075317B"/>
    <w:rsid w:val="00754113"/>
    <w:rsid w:val="007551D8"/>
    <w:rsid w:val="00755247"/>
    <w:rsid w:val="0076188F"/>
    <w:rsid w:val="00761AE8"/>
    <w:rsid w:val="007645ED"/>
    <w:rsid w:val="00764A51"/>
    <w:rsid w:val="00764AE3"/>
    <w:rsid w:val="00764FB4"/>
    <w:rsid w:val="0076572E"/>
    <w:rsid w:val="00767CBA"/>
    <w:rsid w:val="0077155C"/>
    <w:rsid w:val="00773988"/>
    <w:rsid w:val="00775F66"/>
    <w:rsid w:val="007766DD"/>
    <w:rsid w:val="00780319"/>
    <w:rsid w:val="007805BB"/>
    <w:rsid w:val="007805FB"/>
    <w:rsid w:val="00781C73"/>
    <w:rsid w:val="00783B48"/>
    <w:rsid w:val="00784973"/>
    <w:rsid w:val="00784C56"/>
    <w:rsid w:val="00784E54"/>
    <w:rsid w:val="00785097"/>
    <w:rsid w:val="00787BE3"/>
    <w:rsid w:val="00791B9D"/>
    <w:rsid w:val="0079425A"/>
    <w:rsid w:val="00795BB4"/>
    <w:rsid w:val="00797093"/>
    <w:rsid w:val="007A4CC9"/>
    <w:rsid w:val="007A510C"/>
    <w:rsid w:val="007A59FF"/>
    <w:rsid w:val="007A5EE7"/>
    <w:rsid w:val="007A6514"/>
    <w:rsid w:val="007A6603"/>
    <w:rsid w:val="007A6FCD"/>
    <w:rsid w:val="007B03A4"/>
    <w:rsid w:val="007B087A"/>
    <w:rsid w:val="007B15C2"/>
    <w:rsid w:val="007B1A13"/>
    <w:rsid w:val="007C02C1"/>
    <w:rsid w:val="007C1589"/>
    <w:rsid w:val="007C2F12"/>
    <w:rsid w:val="007C303C"/>
    <w:rsid w:val="007C36B5"/>
    <w:rsid w:val="007C49D1"/>
    <w:rsid w:val="007C6567"/>
    <w:rsid w:val="007C65E0"/>
    <w:rsid w:val="007D034C"/>
    <w:rsid w:val="007D0DD0"/>
    <w:rsid w:val="007D0F2F"/>
    <w:rsid w:val="007D1776"/>
    <w:rsid w:val="007D6EE1"/>
    <w:rsid w:val="007E1ECA"/>
    <w:rsid w:val="007E2E9C"/>
    <w:rsid w:val="007E6371"/>
    <w:rsid w:val="007E697E"/>
    <w:rsid w:val="007F093F"/>
    <w:rsid w:val="007F1452"/>
    <w:rsid w:val="007F14FA"/>
    <w:rsid w:val="007F1851"/>
    <w:rsid w:val="007F1CA4"/>
    <w:rsid w:val="007F5582"/>
    <w:rsid w:val="007F5C0F"/>
    <w:rsid w:val="007F6002"/>
    <w:rsid w:val="007F656B"/>
    <w:rsid w:val="007F7030"/>
    <w:rsid w:val="007F7232"/>
    <w:rsid w:val="007F758E"/>
    <w:rsid w:val="007F7B59"/>
    <w:rsid w:val="008025EF"/>
    <w:rsid w:val="0080361B"/>
    <w:rsid w:val="00803953"/>
    <w:rsid w:val="00806DE7"/>
    <w:rsid w:val="0080739D"/>
    <w:rsid w:val="00807460"/>
    <w:rsid w:val="00810AF7"/>
    <w:rsid w:val="00811117"/>
    <w:rsid w:val="008113E6"/>
    <w:rsid w:val="008124CF"/>
    <w:rsid w:val="00814B10"/>
    <w:rsid w:val="00814B70"/>
    <w:rsid w:val="008151F0"/>
    <w:rsid w:val="00815A55"/>
    <w:rsid w:val="008161EB"/>
    <w:rsid w:val="008163AC"/>
    <w:rsid w:val="00816608"/>
    <w:rsid w:val="00816B4C"/>
    <w:rsid w:val="00816D2E"/>
    <w:rsid w:val="00820338"/>
    <w:rsid w:val="00821457"/>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05C9"/>
    <w:rsid w:val="0084147D"/>
    <w:rsid w:val="00844EB0"/>
    <w:rsid w:val="0084722B"/>
    <w:rsid w:val="008479EE"/>
    <w:rsid w:val="00850658"/>
    <w:rsid w:val="00850866"/>
    <w:rsid w:val="00851DA7"/>
    <w:rsid w:val="00853802"/>
    <w:rsid w:val="00853B40"/>
    <w:rsid w:val="00856F93"/>
    <w:rsid w:val="0086268D"/>
    <w:rsid w:val="0086321C"/>
    <w:rsid w:val="008637CF"/>
    <w:rsid w:val="00865396"/>
    <w:rsid w:val="00865513"/>
    <w:rsid w:val="008655B9"/>
    <w:rsid w:val="008658D2"/>
    <w:rsid w:val="008675D4"/>
    <w:rsid w:val="00867F40"/>
    <w:rsid w:val="0087101E"/>
    <w:rsid w:val="0087266C"/>
    <w:rsid w:val="008726F1"/>
    <w:rsid w:val="00872B8A"/>
    <w:rsid w:val="00872E4B"/>
    <w:rsid w:val="00873573"/>
    <w:rsid w:val="0087511F"/>
    <w:rsid w:val="00876521"/>
    <w:rsid w:val="008766C9"/>
    <w:rsid w:val="0088164D"/>
    <w:rsid w:val="00882D6D"/>
    <w:rsid w:val="00884825"/>
    <w:rsid w:val="00884D10"/>
    <w:rsid w:val="0088517F"/>
    <w:rsid w:val="008856A3"/>
    <w:rsid w:val="00885816"/>
    <w:rsid w:val="00886BEF"/>
    <w:rsid w:val="00887FE3"/>
    <w:rsid w:val="008917D7"/>
    <w:rsid w:val="0089240E"/>
    <w:rsid w:val="00893462"/>
    <w:rsid w:val="0089406E"/>
    <w:rsid w:val="008940D8"/>
    <w:rsid w:val="00894572"/>
    <w:rsid w:val="008951D3"/>
    <w:rsid w:val="008953F1"/>
    <w:rsid w:val="00895856"/>
    <w:rsid w:val="00896D39"/>
    <w:rsid w:val="0089736A"/>
    <w:rsid w:val="008978E2"/>
    <w:rsid w:val="00897911"/>
    <w:rsid w:val="008A1049"/>
    <w:rsid w:val="008A32D9"/>
    <w:rsid w:val="008A35F7"/>
    <w:rsid w:val="008A3876"/>
    <w:rsid w:val="008A590C"/>
    <w:rsid w:val="008B099A"/>
    <w:rsid w:val="008B35E6"/>
    <w:rsid w:val="008B3F0E"/>
    <w:rsid w:val="008B53F6"/>
    <w:rsid w:val="008B575F"/>
    <w:rsid w:val="008B6B8A"/>
    <w:rsid w:val="008B7710"/>
    <w:rsid w:val="008B7A73"/>
    <w:rsid w:val="008C0652"/>
    <w:rsid w:val="008C06A6"/>
    <w:rsid w:val="008C17DA"/>
    <w:rsid w:val="008C1A0D"/>
    <w:rsid w:val="008C2153"/>
    <w:rsid w:val="008C3EB5"/>
    <w:rsid w:val="008C4BEB"/>
    <w:rsid w:val="008C4C37"/>
    <w:rsid w:val="008C61C8"/>
    <w:rsid w:val="008D136A"/>
    <w:rsid w:val="008D3411"/>
    <w:rsid w:val="008D3755"/>
    <w:rsid w:val="008D419E"/>
    <w:rsid w:val="008D5CBD"/>
    <w:rsid w:val="008D6EF2"/>
    <w:rsid w:val="008E057A"/>
    <w:rsid w:val="008E1A88"/>
    <w:rsid w:val="008E20B9"/>
    <w:rsid w:val="008E3F48"/>
    <w:rsid w:val="008E4C8E"/>
    <w:rsid w:val="008E61A6"/>
    <w:rsid w:val="008E71FD"/>
    <w:rsid w:val="008F03DC"/>
    <w:rsid w:val="008F147E"/>
    <w:rsid w:val="008F155C"/>
    <w:rsid w:val="008F23E7"/>
    <w:rsid w:val="008F290C"/>
    <w:rsid w:val="008F2AA2"/>
    <w:rsid w:val="008F2DCD"/>
    <w:rsid w:val="008F30A1"/>
    <w:rsid w:val="008F490D"/>
    <w:rsid w:val="008F7CC9"/>
    <w:rsid w:val="00900AAF"/>
    <w:rsid w:val="0090154E"/>
    <w:rsid w:val="00901792"/>
    <w:rsid w:val="00901E52"/>
    <w:rsid w:val="009036E8"/>
    <w:rsid w:val="009045A8"/>
    <w:rsid w:val="00910794"/>
    <w:rsid w:val="009111BF"/>
    <w:rsid w:val="00911C44"/>
    <w:rsid w:val="00911EF6"/>
    <w:rsid w:val="00911F3F"/>
    <w:rsid w:val="009124BF"/>
    <w:rsid w:val="009167AD"/>
    <w:rsid w:val="00917A8B"/>
    <w:rsid w:val="00920880"/>
    <w:rsid w:val="00922BBF"/>
    <w:rsid w:val="00923D1D"/>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403CA"/>
    <w:rsid w:val="00940B1C"/>
    <w:rsid w:val="00942BD5"/>
    <w:rsid w:val="00944C36"/>
    <w:rsid w:val="0094588D"/>
    <w:rsid w:val="00945B09"/>
    <w:rsid w:val="00950781"/>
    <w:rsid w:val="00950A0D"/>
    <w:rsid w:val="00950CAB"/>
    <w:rsid w:val="00954561"/>
    <w:rsid w:val="00954A3E"/>
    <w:rsid w:val="0095721D"/>
    <w:rsid w:val="009572D9"/>
    <w:rsid w:val="00957EA5"/>
    <w:rsid w:val="0096018A"/>
    <w:rsid w:val="0096600E"/>
    <w:rsid w:val="009663D0"/>
    <w:rsid w:val="00970864"/>
    <w:rsid w:val="00970D3A"/>
    <w:rsid w:val="0097140F"/>
    <w:rsid w:val="0097345F"/>
    <w:rsid w:val="0097400B"/>
    <w:rsid w:val="009749BD"/>
    <w:rsid w:val="00975A52"/>
    <w:rsid w:val="00976363"/>
    <w:rsid w:val="009774EC"/>
    <w:rsid w:val="00977B5A"/>
    <w:rsid w:val="00980D8C"/>
    <w:rsid w:val="00981667"/>
    <w:rsid w:val="00987028"/>
    <w:rsid w:val="0098749A"/>
    <w:rsid w:val="00987A6E"/>
    <w:rsid w:val="009917D2"/>
    <w:rsid w:val="00991C5A"/>
    <w:rsid w:val="00991DCC"/>
    <w:rsid w:val="009923E7"/>
    <w:rsid w:val="009927FB"/>
    <w:rsid w:val="00993121"/>
    <w:rsid w:val="00993625"/>
    <w:rsid w:val="00994207"/>
    <w:rsid w:val="00994262"/>
    <w:rsid w:val="0099493F"/>
    <w:rsid w:val="00994974"/>
    <w:rsid w:val="00996ED4"/>
    <w:rsid w:val="00997CBB"/>
    <w:rsid w:val="00997D32"/>
    <w:rsid w:val="009A0604"/>
    <w:rsid w:val="009A0659"/>
    <w:rsid w:val="009A2285"/>
    <w:rsid w:val="009A25A3"/>
    <w:rsid w:val="009A26A1"/>
    <w:rsid w:val="009A2EAB"/>
    <w:rsid w:val="009A561D"/>
    <w:rsid w:val="009A63E1"/>
    <w:rsid w:val="009A66F2"/>
    <w:rsid w:val="009B0218"/>
    <w:rsid w:val="009B13C1"/>
    <w:rsid w:val="009B47ED"/>
    <w:rsid w:val="009B49EF"/>
    <w:rsid w:val="009B4CF8"/>
    <w:rsid w:val="009B4D35"/>
    <w:rsid w:val="009B66ED"/>
    <w:rsid w:val="009B768B"/>
    <w:rsid w:val="009B76C7"/>
    <w:rsid w:val="009B789A"/>
    <w:rsid w:val="009C0420"/>
    <w:rsid w:val="009C0B86"/>
    <w:rsid w:val="009C18AA"/>
    <w:rsid w:val="009C1927"/>
    <w:rsid w:val="009C28A7"/>
    <w:rsid w:val="009C2C61"/>
    <w:rsid w:val="009C35B3"/>
    <w:rsid w:val="009C4826"/>
    <w:rsid w:val="009C4FE8"/>
    <w:rsid w:val="009C5278"/>
    <w:rsid w:val="009D04C5"/>
    <w:rsid w:val="009D0619"/>
    <w:rsid w:val="009D0690"/>
    <w:rsid w:val="009D0E5E"/>
    <w:rsid w:val="009D27AD"/>
    <w:rsid w:val="009D5130"/>
    <w:rsid w:val="009D5C9F"/>
    <w:rsid w:val="009D707F"/>
    <w:rsid w:val="009D7762"/>
    <w:rsid w:val="009D7E10"/>
    <w:rsid w:val="009E0847"/>
    <w:rsid w:val="009E1487"/>
    <w:rsid w:val="009E17E8"/>
    <w:rsid w:val="009E1CA5"/>
    <w:rsid w:val="009E5B51"/>
    <w:rsid w:val="009E6063"/>
    <w:rsid w:val="009E60B0"/>
    <w:rsid w:val="009E6957"/>
    <w:rsid w:val="009E7731"/>
    <w:rsid w:val="009E7E60"/>
    <w:rsid w:val="009F0DB6"/>
    <w:rsid w:val="009F155A"/>
    <w:rsid w:val="009F1E51"/>
    <w:rsid w:val="009F36E2"/>
    <w:rsid w:val="009F3F4C"/>
    <w:rsid w:val="009F4F4D"/>
    <w:rsid w:val="009F6CF5"/>
    <w:rsid w:val="009F7E59"/>
    <w:rsid w:val="00A0063E"/>
    <w:rsid w:val="00A05B20"/>
    <w:rsid w:val="00A05DAD"/>
    <w:rsid w:val="00A06923"/>
    <w:rsid w:val="00A06EF8"/>
    <w:rsid w:val="00A07242"/>
    <w:rsid w:val="00A0727A"/>
    <w:rsid w:val="00A07367"/>
    <w:rsid w:val="00A07DDA"/>
    <w:rsid w:val="00A11F3A"/>
    <w:rsid w:val="00A12C99"/>
    <w:rsid w:val="00A13072"/>
    <w:rsid w:val="00A152E2"/>
    <w:rsid w:val="00A16F56"/>
    <w:rsid w:val="00A220BC"/>
    <w:rsid w:val="00A221B9"/>
    <w:rsid w:val="00A23A87"/>
    <w:rsid w:val="00A24033"/>
    <w:rsid w:val="00A24507"/>
    <w:rsid w:val="00A25273"/>
    <w:rsid w:val="00A25496"/>
    <w:rsid w:val="00A30113"/>
    <w:rsid w:val="00A30137"/>
    <w:rsid w:val="00A30F7A"/>
    <w:rsid w:val="00A32181"/>
    <w:rsid w:val="00A367DE"/>
    <w:rsid w:val="00A37832"/>
    <w:rsid w:val="00A40F98"/>
    <w:rsid w:val="00A42AEA"/>
    <w:rsid w:val="00A437DF"/>
    <w:rsid w:val="00A43AA7"/>
    <w:rsid w:val="00A445B9"/>
    <w:rsid w:val="00A44619"/>
    <w:rsid w:val="00A44907"/>
    <w:rsid w:val="00A465CD"/>
    <w:rsid w:val="00A477BD"/>
    <w:rsid w:val="00A47B30"/>
    <w:rsid w:val="00A51E90"/>
    <w:rsid w:val="00A5310D"/>
    <w:rsid w:val="00A533F3"/>
    <w:rsid w:val="00A5380D"/>
    <w:rsid w:val="00A53A89"/>
    <w:rsid w:val="00A5402E"/>
    <w:rsid w:val="00A549B8"/>
    <w:rsid w:val="00A60611"/>
    <w:rsid w:val="00A6154B"/>
    <w:rsid w:val="00A61E60"/>
    <w:rsid w:val="00A62C6D"/>
    <w:rsid w:val="00A63E76"/>
    <w:rsid w:val="00A64166"/>
    <w:rsid w:val="00A66705"/>
    <w:rsid w:val="00A67319"/>
    <w:rsid w:val="00A673B2"/>
    <w:rsid w:val="00A67D9F"/>
    <w:rsid w:val="00A70D0F"/>
    <w:rsid w:val="00A73A2A"/>
    <w:rsid w:val="00A73D67"/>
    <w:rsid w:val="00A80682"/>
    <w:rsid w:val="00A8238B"/>
    <w:rsid w:val="00A82736"/>
    <w:rsid w:val="00A835D5"/>
    <w:rsid w:val="00A85275"/>
    <w:rsid w:val="00A866A1"/>
    <w:rsid w:val="00A87786"/>
    <w:rsid w:val="00A914FB"/>
    <w:rsid w:val="00A926CD"/>
    <w:rsid w:val="00A93A3D"/>
    <w:rsid w:val="00A93C43"/>
    <w:rsid w:val="00A9430C"/>
    <w:rsid w:val="00A94D41"/>
    <w:rsid w:val="00A954D0"/>
    <w:rsid w:val="00AA1371"/>
    <w:rsid w:val="00AA14F4"/>
    <w:rsid w:val="00AA42FB"/>
    <w:rsid w:val="00AA5BE1"/>
    <w:rsid w:val="00AA6131"/>
    <w:rsid w:val="00AA7381"/>
    <w:rsid w:val="00AA73CF"/>
    <w:rsid w:val="00AA784D"/>
    <w:rsid w:val="00AB1AA6"/>
    <w:rsid w:val="00AB364B"/>
    <w:rsid w:val="00AB4F6D"/>
    <w:rsid w:val="00AB5DEF"/>
    <w:rsid w:val="00AB6E92"/>
    <w:rsid w:val="00AC568E"/>
    <w:rsid w:val="00AC5768"/>
    <w:rsid w:val="00AC5877"/>
    <w:rsid w:val="00AC67A3"/>
    <w:rsid w:val="00AC73BB"/>
    <w:rsid w:val="00AC7792"/>
    <w:rsid w:val="00AC77BA"/>
    <w:rsid w:val="00AD13A7"/>
    <w:rsid w:val="00AD2553"/>
    <w:rsid w:val="00AD31FE"/>
    <w:rsid w:val="00AD4851"/>
    <w:rsid w:val="00AD5565"/>
    <w:rsid w:val="00AD5EFF"/>
    <w:rsid w:val="00AD5FE6"/>
    <w:rsid w:val="00AD68EF"/>
    <w:rsid w:val="00AD7E04"/>
    <w:rsid w:val="00AD7F08"/>
    <w:rsid w:val="00AE399C"/>
    <w:rsid w:val="00AE4660"/>
    <w:rsid w:val="00AE51FC"/>
    <w:rsid w:val="00AE5762"/>
    <w:rsid w:val="00AE69E9"/>
    <w:rsid w:val="00AF00F9"/>
    <w:rsid w:val="00AF1CC4"/>
    <w:rsid w:val="00AF1E02"/>
    <w:rsid w:val="00AF457A"/>
    <w:rsid w:val="00AF482D"/>
    <w:rsid w:val="00AF51AB"/>
    <w:rsid w:val="00AF6CCA"/>
    <w:rsid w:val="00AF73E9"/>
    <w:rsid w:val="00B012D0"/>
    <w:rsid w:val="00B015CC"/>
    <w:rsid w:val="00B02218"/>
    <w:rsid w:val="00B064ED"/>
    <w:rsid w:val="00B06DCA"/>
    <w:rsid w:val="00B07154"/>
    <w:rsid w:val="00B07C8E"/>
    <w:rsid w:val="00B07D4E"/>
    <w:rsid w:val="00B125A8"/>
    <w:rsid w:val="00B16CED"/>
    <w:rsid w:val="00B16DA7"/>
    <w:rsid w:val="00B2007F"/>
    <w:rsid w:val="00B21A61"/>
    <w:rsid w:val="00B224F0"/>
    <w:rsid w:val="00B23ED2"/>
    <w:rsid w:val="00B241DA"/>
    <w:rsid w:val="00B25262"/>
    <w:rsid w:val="00B255E5"/>
    <w:rsid w:val="00B25A3B"/>
    <w:rsid w:val="00B25B5A"/>
    <w:rsid w:val="00B25D94"/>
    <w:rsid w:val="00B267B0"/>
    <w:rsid w:val="00B33743"/>
    <w:rsid w:val="00B3649B"/>
    <w:rsid w:val="00B36877"/>
    <w:rsid w:val="00B36DFC"/>
    <w:rsid w:val="00B41BE6"/>
    <w:rsid w:val="00B42A58"/>
    <w:rsid w:val="00B43D05"/>
    <w:rsid w:val="00B44FCE"/>
    <w:rsid w:val="00B45F68"/>
    <w:rsid w:val="00B462E9"/>
    <w:rsid w:val="00B50188"/>
    <w:rsid w:val="00B50600"/>
    <w:rsid w:val="00B51D8A"/>
    <w:rsid w:val="00B53FEB"/>
    <w:rsid w:val="00B56986"/>
    <w:rsid w:val="00B56BF9"/>
    <w:rsid w:val="00B6171C"/>
    <w:rsid w:val="00B63490"/>
    <w:rsid w:val="00B645A8"/>
    <w:rsid w:val="00B66BBF"/>
    <w:rsid w:val="00B6742D"/>
    <w:rsid w:val="00B67AFF"/>
    <w:rsid w:val="00B724DF"/>
    <w:rsid w:val="00B726FC"/>
    <w:rsid w:val="00B7270F"/>
    <w:rsid w:val="00B76005"/>
    <w:rsid w:val="00B77C87"/>
    <w:rsid w:val="00B804B9"/>
    <w:rsid w:val="00B807FD"/>
    <w:rsid w:val="00B80FC3"/>
    <w:rsid w:val="00B815D4"/>
    <w:rsid w:val="00B8203E"/>
    <w:rsid w:val="00B83278"/>
    <w:rsid w:val="00B83B58"/>
    <w:rsid w:val="00B843EE"/>
    <w:rsid w:val="00B85CE4"/>
    <w:rsid w:val="00B86977"/>
    <w:rsid w:val="00B86E45"/>
    <w:rsid w:val="00B87538"/>
    <w:rsid w:val="00B92495"/>
    <w:rsid w:val="00B930D1"/>
    <w:rsid w:val="00B960EA"/>
    <w:rsid w:val="00B97C80"/>
    <w:rsid w:val="00BA0F5B"/>
    <w:rsid w:val="00BA1DDB"/>
    <w:rsid w:val="00BA2D7C"/>
    <w:rsid w:val="00BB0B51"/>
    <w:rsid w:val="00BB1081"/>
    <w:rsid w:val="00BB18A5"/>
    <w:rsid w:val="00BB474F"/>
    <w:rsid w:val="00BB5328"/>
    <w:rsid w:val="00BB6721"/>
    <w:rsid w:val="00BB6D67"/>
    <w:rsid w:val="00BC4DA7"/>
    <w:rsid w:val="00BC568C"/>
    <w:rsid w:val="00BC607D"/>
    <w:rsid w:val="00BC6CD8"/>
    <w:rsid w:val="00BD00C3"/>
    <w:rsid w:val="00BD07E7"/>
    <w:rsid w:val="00BD0C95"/>
    <w:rsid w:val="00BD28B4"/>
    <w:rsid w:val="00BD2925"/>
    <w:rsid w:val="00BD38EE"/>
    <w:rsid w:val="00BD43B1"/>
    <w:rsid w:val="00BD54FE"/>
    <w:rsid w:val="00BD5A31"/>
    <w:rsid w:val="00BD692D"/>
    <w:rsid w:val="00BD7C9C"/>
    <w:rsid w:val="00BE16A0"/>
    <w:rsid w:val="00BE43D0"/>
    <w:rsid w:val="00BE43F5"/>
    <w:rsid w:val="00BE4A07"/>
    <w:rsid w:val="00BE5617"/>
    <w:rsid w:val="00BE58DB"/>
    <w:rsid w:val="00BE6093"/>
    <w:rsid w:val="00BE60F8"/>
    <w:rsid w:val="00BF0E5F"/>
    <w:rsid w:val="00BF230C"/>
    <w:rsid w:val="00BF317F"/>
    <w:rsid w:val="00BF42E7"/>
    <w:rsid w:val="00BF509D"/>
    <w:rsid w:val="00BF7255"/>
    <w:rsid w:val="00C0000E"/>
    <w:rsid w:val="00C00A3A"/>
    <w:rsid w:val="00C023C6"/>
    <w:rsid w:val="00C03569"/>
    <w:rsid w:val="00C055F9"/>
    <w:rsid w:val="00C05A94"/>
    <w:rsid w:val="00C0731E"/>
    <w:rsid w:val="00C127DC"/>
    <w:rsid w:val="00C13219"/>
    <w:rsid w:val="00C1350C"/>
    <w:rsid w:val="00C13A74"/>
    <w:rsid w:val="00C13FB0"/>
    <w:rsid w:val="00C20453"/>
    <w:rsid w:val="00C221F8"/>
    <w:rsid w:val="00C2264B"/>
    <w:rsid w:val="00C2375C"/>
    <w:rsid w:val="00C2428D"/>
    <w:rsid w:val="00C26546"/>
    <w:rsid w:val="00C31A87"/>
    <w:rsid w:val="00C31F1F"/>
    <w:rsid w:val="00C320AE"/>
    <w:rsid w:val="00C329A3"/>
    <w:rsid w:val="00C36885"/>
    <w:rsid w:val="00C376EA"/>
    <w:rsid w:val="00C41622"/>
    <w:rsid w:val="00C44BD1"/>
    <w:rsid w:val="00C45577"/>
    <w:rsid w:val="00C45A68"/>
    <w:rsid w:val="00C4646C"/>
    <w:rsid w:val="00C46754"/>
    <w:rsid w:val="00C46FD8"/>
    <w:rsid w:val="00C4755E"/>
    <w:rsid w:val="00C50C41"/>
    <w:rsid w:val="00C50E53"/>
    <w:rsid w:val="00C526FF"/>
    <w:rsid w:val="00C5651A"/>
    <w:rsid w:val="00C60A2C"/>
    <w:rsid w:val="00C60F5E"/>
    <w:rsid w:val="00C625EA"/>
    <w:rsid w:val="00C6361A"/>
    <w:rsid w:val="00C71AA4"/>
    <w:rsid w:val="00C728F0"/>
    <w:rsid w:val="00C73131"/>
    <w:rsid w:val="00C734AD"/>
    <w:rsid w:val="00C74A8E"/>
    <w:rsid w:val="00C75650"/>
    <w:rsid w:val="00C75A82"/>
    <w:rsid w:val="00C75B26"/>
    <w:rsid w:val="00C75E5A"/>
    <w:rsid w:val="00C75EF1"/>
    <w:rsid w:val="00C76DE5"/>
    <w:rsid w:val="00C76FCF"/>
    <w:rsid w:val="00C81706"/>
    <w:rsid w:val="00C81EF3"/>
    <w:rsid w:val="00C84599"/>
    <w:rsid w:val="00C84D23"/>
    <w:rsid w:val="00C86523"/>
    <w:rsid w:val="00C90500"/>
    <w:rsid w:val="00C905F1"/>
    <w:rsid w:val="00C90FAD"/>
    <w:rsid w:val="00C91261"/>
    <w:rsid w:val="00C916D9"/>
    <w:rsid w:val="00C91CE1"/>
    <w:rsid w:val="00C921ED"/>
    <w:rsid w:val="00C9258D"/>
    <w:rsid w:val="00C93205"/>
    <w:rsid w:val="00C945B3"/>
    <w:rsid w:val="00C9551F"/>
    <w:rsid w:val="00C961DD"/>
    <w:rsid w:val="00C96E3C"/>
    <w:rsid w:val="00CA0A06"/>
    <w:rsid w:val="00CA1155"/>
    <w:rsid w:val="00CA379B"/>
    <w:rsid w:val="00CA3E87"/>
    <w:rsid w:val="00CA646D"/>
    <w:rsid w:val="00CA6D64"/>
    <w:rsid w:val="00CA77AB"/>
    <w:rsid w:val="00CB0C30"/>
    <w:rsid w:val="00CB0EAA"/>
    <w:rsid w:val="00CB1306"/>
    <w:rsid w:val="00CB2DE1"/>
    <w:rsid w:val="00CB34A0"/>
    <w:rsid w:val="00CB50DF"/>
    <w:rsid w:val="00CB5AAD"/>
    <w:rsid w:val="00CB6245"/>
    <w:rsid w:val="00CB6545"/>
    <w:rsid w:val="00CC223C"/>
    <w:rsid w:val="00CC2755"/>
    <w:rsid w:val="00CC2B05"/>
    <w:rsid w:val="00CC334B"/>
    <w:rsid w:val="00CC51DA"/>
    <w:rsid w:val="00CC6B19"/>
    <w:rsid w:val="00CC7126"/>
    <w:rsid w:val="00CC7B53"/>
    <w:rsid w:val="00CD39BE"/>
    <w:rsid w:val="00CD3EBE"/>
    <w:rsid w:val="00CD43B3"/>
    <w:rsid w:val="00CD4993"/>
    <w:rsid w:val="00CD6D04"/>
    <w:rsid w:val="00CD6EFB"/>
    <w:rsid w:val="00CD7BC0"/>
    <w:rsid w:val="00CE030B"/>
    <w:rsid w:val="00CE1148"/>
    <w:rsid w:val="00CE17B7"/>
    <w:rsid w:val="00CE1874"/>
    <w:rsid w:val="00CE1F33"/>
    <w:rsid w:val="00CE355C"/>
    <w:rsid w:val="00CE4137"/>
    <w:rsid w:val="00CE437F"/>
    <w:rsid w:val="00CE4484"/>
    <w:rsid w:val="00CE5788"/>
    <w:rsid w:val="00CF45E9"/>
    <w:rsid w:val="00CF4DD4"/>
    <w:rsid w:val="00CF563C"/>
    <w:rsid w:val="00CF7241"/>
    <w:rsid w:val="00D01AD3"/>
    <w:rsid w:val="00D0220B"/>
    <w:rsid w:val="00D057AF"/>
    <w:rsid w:val="00D05FAB"/>
    <w:rsid w:val="00D07CE3"/>
    <w:rsid w:val="00D112F1"/>
    <w:rsid w:val="00D12979"/>
    <w:rsid w:val="00D142E8"/>
    <w:rsid w:val="00D145C3"/>
    <w:rsid w:val="00D14D16"/>
    <w:rsid w:val="00D15BA1"/>
    <w:rsid w:val="00D16041"/>
    <w:rsid w:val="00D21BB0"/>
    <w:rsid w:val="00D225E7"/>
    <w:rsid w:val="00D23B40"/>
    <w:rsid w:val="00D23CC6"/>
    <w:rsid w:val="00D242DC"/>
    <w:rsid w:val="00D26C6F"/>
    <w:rsid w:val="00D27239"/>
    <w:rsid w:val="00D27B94"/>
    <w:rsid w:val="00D27F47"/>
    <w:rsid w:val="00D303D3"/>
    <w:rsid w:val="00D30AEA"/>
    <w:rsid w:val="00D30F4B"/>
    <w:rsid w:val="00D30FFE"/>
    <w:rsid w:val="00D32314"/>
    <w:rsid w:val="00D33920"/>
    <w:rsid w:val="00D34351"/>
    <w:rsid w:val="00D4242C"/>
    <w:rsid w:val="00D42A9B"/>
    <w:rsid w:val="00D44690"/>
    <w:rsid w:val="00D447D2"/>
    <w:rsid w:val="00D4567F"/>
    <w:rsid w:val="00D47CF9"/>
    <w:rsid w:val="00D47E53"/>
    <w:rsid w:val="00D5239B"/>
    <w:rsid w:val="00D533EA"/>
    <w:rsid w:val="00D54098"/>
    <w:rsid w:val="00D5673C"/>
    <w:rsid w:val="00D57D31"/>
    <w:rsid w:val="00D608AD"/>
    <w:rsid w:val="00D62874"/>
    <w:rsid w:val="00D640F7"/>
    <w:rsid w:val="00D64ACA"/>
    <w:rsid w:val="00D65E11"/>
    <w:rsid w:val="00D679B8"/>
    <w:rsid w:val="00D701E0"/>
    <w:rsid w:val="00D70475"/>
    <w:rsid w:val="00D705B2"/>
    <w:rsid w:val="00D70702"/>
    <w:rsid w:val="00D7091A"/>
    <w:rsid w:val="00D72022"/>
    <w:rsid w:val="00D7394E"/>
    <w:rsid w:val="00D73B1D"/>
    <w:rsid w:val="00D75560"/>
    <w:rsid w:val="00D76B47"/>
    <w:rsid w:val="00D76CDF"/>
    <w:rsid w:val="00D80D13"/>
    <w:rsid w:val="00D8354F"/>
    <w:rsid w:val="00D84021"/>
    <w:rsid w:val="00D848CA"/>
    <w:rsid w:val="00D84C1C"/>
    <w:rsid w:val="00D8534B"/>
    <w:rsid w:val="00D85B39"/>
    <w:rsid w:val="00D876B6"/>
    <w:rsid w:val="00D87DE2"/>
    <w:rsid w:val="00D90EE2"/>
    <w:rsid w:val="00D929BD"/>
    <w:rsid w:val="00D9429B"/>
    <w:rsid w:val="00D972B7"/>
    <w:rsid w:val="00DA1C65"/>
    <w:rsid w:val="00DA40CA"/>
    <w:rsid w:val="00DA4344"/>
    <w:rsid w:val="00DA4E09"/>
    <w:rsid w:val="00DA6731"/>
    <w:rsid w:val="00DA770F"/>
    <w:rsid w:val="00DB0F35"/>
    <w:rsid w:val="00DB3628"/>
    <w:rsid w:val="00DB4BC9"/>
    <w:rsid w:val="00DB53A9"/>
    <w:rsid w:val="00DB77A0"/>
    <w:rsid w:val="00DB7B75"/>
    <w:rsid w:val="00DC138E"/>
    <w:rsid w:val="00DC2A41"/>
    <w:rsid w:val="00DC2EB8"/>
    <w:rsid w:val="00DC3B83"/>
    <w:rsid w:val="00DC430A"/>
    <w:rsid w:val="00DC694D"/>
    <w:rsid w:val="00DD03C6"/>
    <w:rsid w:val="00DD09D0"/>
    <w:rsid w:val="00DD09F1"/>
    <w:rsid w:val="00DD0CA4"/>
    <w:rsid w:val="00DD1AE5"/>
    <w:rsid w:val="00DD20FA"/>
    <w:rsid w:val="00DD2E5D"/>
    <w:rsid w:val="00DD544E"/>
    <w:rsid w:val="00DD5FEF"/>
    <w:rsid w:val="00DD6C82"/>
    <w:rsid w:val="00DD7F16"/>
    <w:rsid w:val="00DD7FE6"/>
    <w:rsid w:val="00DE0BE0"/>
    <w:rsid w:val="00DE140C"/>
    <w:rsid w:val="00DE3AA6"/>
    <w:rsid w:val="00DE5F7E"/>
    <w:rsid w:val="00DE67C5"/>
    <w:rsid w:val="00DE6C97"/>
    <w:rsid w:val="00DE6CE0"/>
    <w:rsid w:val="00DE6EDF"/>
    <w:rsid w:val="00DE7D84"/>
    <w:rsid w:val="00DF0DAE"/>
    <w:rsid w:val="00DF191D"/>
    <w:rsid w:val="00DF1F88"/>
    <w:rsid w:val="00DF223F"/>
    <w:rsid w:val="00DF2EAB"/>
    <w:rsid w:val="00DF44E4"/>
    <w:rsid w:val="00DF69BC"/>
    <w:rsid w:val="00DF6BC4"/>
    <w:rsid w:val="00DF762D"/>
    <w:rsid w:val="00E000BF"/>
    <w:rsid w:val="00E03398"/>
    <w:rsid w:val="00E03D6F"/>
    <w:rsid w:val="00E047AB"/>
    <w:rsid w:val="00E05670"/>
    <w:rsid w:val="00E05D76"/>
    <w:rsid w:val="00E070CD"/>
    <w:rsid w:val="00E0761C"/>
    <w:rsid w:val="00E07C8C"/>
    <w:rsid w:val="00E10646"/>
    <w:rsid w:val="00E13348"/>
    <w:rsid w:val="00E13615"/>
    <w:rsid w:val="00E1480A"/>
    <w:rsid w:val="00E15DA1"/>
    <w:rsid w:val="00E16A1B"/>
    <w:rsid w:val="00E16F1D"/>
    <w:rsid w:val="00E17B97"/>
    <w:rsid w:val="00E200BD"/>
    <w:rsid w:val="00E20835"/>
    <w:rsid w:val="00E20A18"/>
    <w:rsid w:val="00E23235"/>
    <w:rsid w:val="00E23A1F"/>
    <w:rsid w:val="00E2443D"/>
    <w:rsid w:val="00E25041"/>
    <w:rsid w:val="00E26D58"/>
    <w:rsid w:val="00E27762"/>
    <w:rsid w:val="00E27F0F"/>
    <w:rsid w:val="00E30116"/>
    <w:rsid w:val="00E31976"/>
    <w:rsid w:val="00E327E1"/>
    <w:rsid w:val="00E35231"/>
    <w:rsid w:val="00E35F59"/>
    <w:rsid w:val="00E36FD3"/>
    <w:rsid w:val="00E37EC5"/>
    <w:rsid w:val="00E41A62"/>
    <w:rsid w:val="00E44394"/>
    <w:rsid w:val="00E4729C"/>
    <w:rsid w:val="00E500EB"/>
    <w:rsid w:val="00E505FB"/>
    <w:rsid w:val="00E50857"/>
    <w:rsid w:val="00E511D6"/>
    <w:rsid w:val="00E5137D"/>
    <w:rsid w:val="00E521EC"/>
    <w:rsid w:val="00E52CFC"/>
    <w:rsid w:val="00E53F71"/>
    <w:rsid w:val="00E541F9"/>
    <w:rsid w:val="00E54208"/>
    <w:rsid w:val="00E60683"/>
    <w:rsid w:val="00E60A24"/>
    <w:rsid w:val="00E60FA8"/>
    <w:rsid w:val="00E646A4"/>
    <w:rsid w:val="00E646BB"/>
    <w:rsid w:val="00E64D10"/>
    <w:rsid w:val="00E6706B"/>
    <w:rsid w:val="00E67FC2"/>
    <w:rsid w:val="00E7030E"/>
    <w:rsid w:val="00E70BAD"/>
    <w:rsid w:val="00E72180"/>
    <w:rsid w:val="00E74C85"/>
    <w:rsid w:val="00E750A3"/>
    <w:rsid w:val="00E75490"/>
    <w:rsid w:val="00E7633D"/>
    <w:rsid w:val="00E764CC"/>
    <w:rsid w:val="00E77C72"/>
    <w:rsid w:val="00E81C89"/>
    <w:rsid w:val="00E825C6"/>
    <w:rsid w:val="00E84691"/>
    <w:rsid w:val="00E850EE"/>
    <w:rsid w:val="00E85EAC"/>
    <w:rsid w:val="00E922BC"/>
    <w:rsid w:val="00E92346"/>
    <w:rsid w:val="00E9334E"/>
    <w:rsid w:val="00E94F82"/>
    <w:rsid w:val="00E950C9"/>
    <w:rsid w:val="00E9577F"/>
    <w:rsid w:val="00E95824"/>
    <w:rsid w:val="00E96458"/>
    <w:rsid w:val="00E96693"/>
    <w:rsid w:val="00E96B6B"/>
    <w:rsid w:val="00E9722F"/>
    <w:rsid w:val="00E97353"/>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02BF"/>
    <w:rsid w:val="00EC167B"/>
    <w:rsid w:val="00EC2005"/>
    <w:rsid w:val="00EC2041"/>
    <w:rsid w:val="00EC286D"/>
    <w:rsid w:val="00EC320F"/>
    <w:rsid w:val="00EC3CA8"/>
    <w:rsid w:val="00EC44C6"/>
    <w:rsid w:val="00EC4826"/>
    <w:rsid w:val="00EC4F48"/>
    <w:rsid w:val="00EC5260"/>
    <w:rsid w:val="00EC5791"/>
    <w:rsid w:val="00ED0A8D"/>
    <w:rsid w:val="00ED1FA9"/>
    <w:rsid w:val="00ED23F7"/>
    <w:rsid w:val="00ED2934"/>
    <w:rsid w:val="00ED3715"/>
    <w:rsid w:val="00ED668C"/>
    <w:rsid w:val="00EE0C2B"/>
    <w:rsid w:val="00EE0C5F"/>
    <w:rsid w:val="00EE12CE"/>
    <w:rsid w:val="00EE3947"/>
    <w:rsid w:val="00EE3C5B"/>
    <w:rsid w:val="00EE4D62"/>
    <w:rsid w:val="00EF0D0C"/>
    <w:rsid w:val="00EF14C3"/>
    <w:rsid w:val="00EF36E2"/>
    <w:rsid w:val="00EF36E3"/>
    <w:rsid w:val="00EF62F5"/>
    <w:rsid w:val="00EF712C"/>
    <w:rsid w:val="00F00AB2"/>
    <w:rsid w:val="00F01237"/>
    <w:rsid w:val="00F0164D"/>
    <w:rsid w:val="00F025DE"/>
    <w:rsid w:val="00F02650"/>
    <w:rsid w:val="00F02813"/>
    <w:rsid w:val="00F03196"/>
    <w:rsid w:val="00F034CA"/>
    <w:rsid w:val="00F03C66"/>
    <w:rsid w:val="00F04E90"/>
    <w:rsid w:val="00F0645F"/>
    <w:rsid w:val="00F0719F"/>
    <w:rsid w:val="00F0758D"/>
    <w:rsid w:val="00F10242"/>
    <w:rsid w:val="00F108AC"/>
    <w:rsid w:val="00F10BBB"/>
    <w:rsid w:val="00F10BFF"/>
    <w:rsid w:val="00F11EDC"/>
    <w:rsid w:val="00F12F42"/>
    <w:rsid w:val="00F13DE4"/>
    <w:rsid w:val="00F16550"/>
    <w:rsid w:val="00F17A33"/>
    <w:rsid w:val="00F21A8A"/>
    <w:rsid w:val="00F27A88"/>
    <w:rsid w:val="00F31028"/>
    <w:rsid w:val="00F31F0C"/>
    <w:rsid w:val="00F327C3"/>
    <w:rsid w:val="00F3338E"/>
    <w:rsid w:val="00F3340B"/>
    <w:rsid w:val="00F34DC0"/>
    <w:rsid w:val="00F37548"/>
    <w:rsid w:val="00F3779A"/>
    <w:rsid w:val="00F421E6"/>
    <w:rsid w:val="00F4241C"/>
    <w:rsid w:val="00F429E6"/>
    <w:rsid w:val="00F47469"/>
    <w:rsid w:val="00F5028B"/>
    <w:rsid w:val="00F50673"/>
    <w:rsid w:val="00F51C55"/>
    <w:rsid w:val="00F526AF"/>
    <w:rsid w:val="00F52A7B"/>
    <w:rsid w:val="00F52DB4"/>
    <w:rsid w:val="00F618C6"/>
    <w:rsid w:val="00F62819"/>
    <w:rsid w:val="00F62BDB"/>
    <w:rsid w:val="00F64C08"/>
    <w:rsid w:val="00F670D2"/>
    <w:rsid w:val="00F713C4"/>
    <w:rsid w:val="00F758A0"/>
    <w:rsid w:val="00F76A72"/>
    <w:rsid w:val="00F77EED"/>
    <w:rsid w:val="00F8023E"/>
    <w:rsid w:val="00F8291D"/>
    <w:rsid w:val="00F847B7"/>
    <w:rsid w:val="00F852C2"/>
    <w:rsid w:val="00F855B3"/>
    <w:rsid w:val="00F872AD"/>
    <w:rsid w:val="00F87807"/>
    <w:rsid w:val="00F900AE"/>
    <w:rsid w:val="00F90496"/>
    <w:rsid w:val="00F91764"/>
    <w:rsid w:val="00F9251B"/>
    <w:rsid w:val="00F945BC"/>
    <w:rsid w:val="00F95D8C"/>
    <w:rsid w:val="00F96514"/>
    <w:rsid w:val="00F96C32"/>
    <w:rsid w:val="00FA0FE6"/>
    <w:rsid w:val="00FA1A5C"/>
    <w:rsid w:val="00FA24FE"/>
    <w:rsid w:val="00FA2E62"/>
    <w:rsid w:val="00FA506B"/>
    <w:rsid w:val="00FA6A25"/>
    <w:rsid w:val="00FA7BC8"/>
    <w:rsid w:val="00FB3B57"/>
    <w:rsid w:val="00FB44FE"/>
    <w:rsid w:val="00FB4E97"/>
    <w:rsid w:val="00FB587D"/>
    <w:rsid w:val="00FB75A8"/>
    <w:rsid w:val="00FC30AF"/>
    <w:rsid w:val="00FC3D4A"/>
    <w:rsid w:val="00FC7143"/>
    <w:rsid w:val="00FC72C1"/>
    <w:rsid w:val="00FC7A63"/>
    <w:rsid w:val="00FC7C8F"/>
    <w:rsid w:val="00FD3191"/>
    <w:rsid w:val="00FD5ED9"/>
    <w:rsid w:val="00FD6AB3"/>
    <w:rsid w:val="00FD6AE8"/>
    <w:rsid w:val="00FD6F50"/>
    <w:rsid w:val="00FD7D62"/>
    <w:rsid w:val="00FE0FB0"/>
    <w:rsid w:val="00FE13BD"/>
    <w:rsid w:val="00FE3F6A"/>
    <w:rsid w:val="00FE4EBC"/>
    <w:rsid w:val="00FF3527"/>
    <w:rsid w:val="00FF39DE"/>
    <w:rsid w:val="00FF4731"/>
    <w:rsid w:val="00FF5996"/>
    <w:rsid w:val="00FF7074"/>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AF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semiHidden/>
    <w:rsid w:val="001E2A7D"/>
    <w:pPr>
      <w:widowControl w:val="0"/>
    </w:pPr>
    <w:rPr>
      <w:rFonts w:ascii="Palatino" w:hAnsi="Palatino"/>
      <w:snapToGrid w:val="0"/>
      <w:szCs w:val="20"/>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eastAsia="en-GB"/>
    </w:rPr>
  </w:style>
  <w:style w:type="paragraph" w:customStyle="1" w:styleId="yiv1402040874msonormal">
    <w:name w:val="yiv1402040874msonormal"/>
    <w:basedOn w:val="Normal"/>
    <w:rsid w:val="001642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semiHidden/>
    <w:rsid w:val="001E2A7D"/>
    <w:pPr>
      <w:widowControl w:val="0"/>
    </w:pPr>
    <w:rPr>
      <w:rFonts w:ascii="Palatino" w:hAnsi="Palatino"/>
      <w:snapToGrid w:val="0"/>
      <w:szCs w:val="20"/>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eastAsia="en-GB"/>
    </w:rPr>
  </w:style>
  <w:style w:type="paragraph" w:customStyle="1" w:styleId="yiv1402040874msonormal">
    <w:name w:val="yiv1402040874msonormal"/>
    <w:basedOn w:val="Normal"/>
    <w:rsid w:val="001642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63605">
      <w:bodyDiv w:val="1"/>
      <w:marLeft w:val="0"/>
      <w:marRight w:val="0"/>
      <w:marTop w:val="0"/>
      <w:marBottom w:val="0"/>
      <w:divBdr>
        <w:top w:val="none" w:sz="0" w:space="0" w:color="auto"/>
        <w:left w:val="none" w:sz="0" w:space="0" w:color="auto"/>
        <w:bottom w:val="none" w:sz="0" w:space="0" w:color="auto"/>
        <w:right w:val="none" w:sz="0" w:space="0" w:color="auto"/>
      </w:divBdr>
    </w:div>
    <w:div w:id="339894515">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513">
      <w:bodyDiv w:val="1"/>
      <w:marLeft w:val="0"/>
      <w:marRight w:val="0"/>
      <w:marTop w:val="0"/>
      <w:marBottom w:val="0"/>
      <w:divBdr>
        <w:top w:val="none" w:sz="0" w:space="0" w:color="auto"/>
        <w:left w:val="none" w:sz="0" w:space="0" w:color="auto"/>
        <w:bottom w:val="none" w:sz="0" w:space="0" w:color="auto"/>
        <w:right w:val="none" w:sz="0" w:space="0" w:color="auto"/>
      </w:divBdr>
    </w:div>
    <w:div w:id="1373964486">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570340068">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683359465">
      <w:bodyDiv w:val="1"/>
      <w:marLeft w:val="0"/>
      <w:marRight w:val="0"/>
      <w:marTop w:val="0"/>
      <w:marBottom w:val="0"/>
      <w:divBdr>
        <w:top w:val="none" w:sz="0" w:space="0" w:color="auto"/>
        <w:left w:val="none" w:sz="0" w:space="0" w:color="auto"/>
        <w:bottom w:val="none" w:sz="0" w:space="0" w:color="auto"/>
        <w:right w:val="none" w:sz="0" w:space="0" w:color="auto"/>
      </w:divBdr>
    </w:div>
    <w:div w:id="1774401638">
      <w:bodyDiv w:val="1"/>
      <w:marLeft w:val="0"/>
      <w:marRight w:val="0"/>
      <w:marTop w:val="0"/>
      <w:marBottom w:val="0"/>
      <w:divBdr>
        <w:top w:val="none" w:sz="0" w:space="0" w:color="auto"/>
        <w:left w:val="none" w:sz="0" w:space="0" w:color="auto"/>
        <w:bottom w:val="none" w:sz="0" w:space="0" w:color="auto"/>
        <w:right w:val="none" w:sz="0" w:space="0" w:color="auto"/>
      </w:divBdr>
    </w:div>
    <w:div w:id="1791775249">
      <w:bodyDiv w:val="1"/>
      <w:marLeft w:val="0"/>
      <w:marRight w:val="0"/>
      <w:marTop w:val="0"/>
      <w:marBottom w:val="0"/>
      <w:divBdr>
        <w:top w:val="none" w:sz="0" w:space="0" w:color="auto"/>
        <w:left w:val="none" w:sz="0" w:space="0" w:color="auto"/>
        <w:bottom w:val="none" w:sz="0" w:space="0" w:color="auto"/>
        <w:right w:val="none" w:sz="0" w:space="0" w:color="auto"/>
      </w:divBdr>
    </w:div>
    <w:div w:id="189492486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418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mikonline.org/hrap/Eng/Cases%20Eng/249_09%20Jankovic%20Opinion%20FINAL%2016oct14.doc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unmikonline.org/hrap/Eng/Cases%20Eng/DC_No_52-09-SRSG_comment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mikonline.org/hrap/Eng/Cases%20Eng/14_09%20etal%20Ibraj%20Opinion%20final%206Aug14.doc"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mikonline.org/hrap/Eng/Cases%20Eng/166_09%20Bulatovic_FINAL_Opinion_adop13Nov14.docx" TargetMode="External"/><Relationship Id="rId5" Type="http://schemas.openxmlformats.org/officeDocument/2006/relationships/settings" Target="settings.xml"/><Relationship Id="rId15" Type="http://schemas.openxmlformats.org/officeDocument/2006/relationships/hyperlink" Target="http://www.unmikonline.org/hrap/Eng/Cases%20Eng/OP_48-09_ENG.pdf" TargetMode="External"/><Relationship Id="rId23" Type="http://schemas.openxmlformats.org/officeDocument/2006/relationships/customXml" Target="../customXml/item5.xml"/><Relationship Id="rId10" Type="http://schemas.openxmlformats.org/officeDocument/2006/relationships/hyperlink" Target="http://untreaty.un.org/English/TreatyEvent2001/pdf/07e.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nmikonline.org/hrap/Eng/Cases%20Eng/87-09.pdf"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JOVANOVIĆ, Sava</Reference>
    <Case_x0020_Year xmlns="63130c8a-8d1f-4e28-8ee3-43603ca9ef3b">2009</Case_x0020_Year>
    <Case_x0020_Status xmlns="16f2acb5-7363-4076-9084-069fc3bb4325">CASE CLOSED</Case_x0020_Status>
    <Date_x0020_of_x0020_Adoption xmlns="16f2acb5-7363-4076-9084-069fc3bb4325">2015-03-19T23:00:00+00:00</Date_x0020_of_x0020_Adoption>
    <Case_x0020_Number xmlns="16f2acb5-7363-4076-9084-069fc3bb4325">213/09</Case_x0020_Number>
    <Type_x0020_of_x0020_Document xmlns="16f2acb5-7363-4076-9084-069fc3bb4325">Opinion</Type_x0020_of_x0020_Document>
    <_dlc_DocId xmlns="b9fab99d-1571-47f6-8995-3a195ef041f8">M5JDUUKXSQ5W-25-1084</_dlc_DocId>
    <_dlc_DocIdUrl xmlns="b9fab99d-1571-47f6-8995-3a195ef041f8">
      <Url>http://www.unmikonline.org/hrap/Eng/_layouts/DocIdRedir.aspx?ID=M5JDUUKXSQ5W-25-1084</Url>
      <Description>M5JDUUKXSQ5W-25-1084</Description>
    </_dlc_DocIdUrl>
  </documentManagement>
</p:properties>
</file>

<file path=customXml/itemProps1.xml><?xml version="1.0" encoding="utf-8"?>
<ds:datastoreItem xmlns:ds="http://schemas.openxmlformats.org/officeDocument/2006/customXml" ds:itemID="{E0584487-9DA6-410D-A8CF-6FEE946650BC}"/>
</file>

<file path=customXml/itemProps2.xml><?xml version="1.0" encoding="utf-8"?>
<ds:datastoreItem xmlns:ds="http://schemas.openxmlformats.org/officeDocument/2006/customXml" ds:itemID="{E494CBAD-7160-4768-8B0B-965E2D97DF0F}"/>
</file>

<file path=customXml/itemProps3.xml><?xml version="1.0" encoding="utf-8"?>
<ds:datastoreItem xmlns:ds="http://schemas.openxmlformats.org/officeDocument/2006/customXml" ds:itemID="{2EDC5D07-0744-4D7A-AC6F-8FF4EB4659AF}"/>
</file>

<file path=customXml/itemProps4.xml><?xml version="1.0" encoding="utf-8"?>
<ds:datastoreItem xmlns:ds="http://schemas.openxmlformats.org/officeDocument/2006/customXml" ds:itemID="{0FE6BB3D-5FD8-454E-BEC0-FEA0388E712D}"/>
</file>

<file path=customXml/itemProps5.xml><?xml version="1.0" encoding="utf-8"?>
<ds:datastoreItem xmlns:ds="http://schemas.openxmlformats.org/officeDocument/2006/customXml" ds:itemID="{ABF46593-960F-45CD-A0D7-0E99B55F444F}"/>
</file>

<file path=docProps/app.xml><?xml version="1.0" encoding="utf-8"?>
<Properties xmlns="http://schemas.openxmlformats.org/officeDocument/2006/extended-properties" xmlns:vt="http://schemas.openxmlformats.org/officeDocument/2006/docPropsVTypes">
  <Template>Normal</Template>
  <TotalTime>0</TotalTime>
  <Pages>33</Pages>
  <Words>14906</Words>
  <Characters>84967</Characters>
  <Application>Microsoft Office Word</Application>
  <DocSecurity>0</DocSecurity>
  <Lines>708</Lines>
  <Paragraphs>199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99674</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2015-04-23T07:17:00Z</cp:lastPrinted>
  <dcterms:created xsi:type="dcterms:W3CDTF">2015-05-07T09:02:00Z</dcterms:created>
  <dcterms:modified xsi:type="dcterms:W3CDTF">2015-05-07T09:02:00Z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81749441-da32-499b-a72c-1c33e70b9904</vt:lpwstr>
  </property>
</Properties>
</file>